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849D0" w:rsidR="009C66CE" w:rsidP="007250AE" w:rsidRDefault="008228B5" w14:paraId="10AD9705" w14:textId="4C3D6A06">
      <w:pPr>
        <w:keepNext/>
        <w:keepLines/>
        <w:spacing w:after="0"/>
        <w:jc w:val="center"/>
        <w:outlineLvl w:val="0"/>
        <w:rPr>
          <w:rFonts w:ascii="Work Sans" w:hAnsi="Work Sans" w:eastAsia="Times New Roman" w:cs="Verdana"/>
          <w:b/>
          <w:bCs/>
          <w:lang w:val="es-ES" w:eastAsia="es-ES"/>
        </w:rPr>
      </w:pPr>
      <w:r w:rsidRPr="00A849D0">
        <w:rPr>
          <w:rFonts w:ascii="Work Sans" w:hAnsi="Work Sans" w:eastAsia="Times New Roman" w:cs="Verdana"/>
          <w:b/>
          <w:bCs/>
          <w:lang w:val="es-ES" w:eastAsia="es-ES"/>
        </w:rPr>
        <w:t>MINISTERIO DE MINAS Y ENERGÍA</w:t>
      </w:r>
    </w:p>
    <w:p w:rsidR="008228B5" w:rsidP="007250AE" w:rsidRDefault="008228B5" w14:paraId="1ED5DB71" w14:textId="67DF4434">
      <w:pPr>
        <w:keepNext/>
        <w:keepLines/>
        <w:spacing w:after="0"/>
        <w:jc w:val="center"/>
        <w:outlineLvl w:val="0"/>
        <w:rPr>
          <w:rFonts w:ascii="Work Sans" w:hAnsi="Work Sans" w:eastAsia="Times New Roman" w:cs="Verdana"/>
          <w:b/>
          <w:bCs/>
          <w:lang w:val="es-ES" w:eastAsia="es-ES"/>
        </w:rPr>
      </w:pPr>
      <w:r w:rsidRPr="00A849D0">
        <w:rPr>
          <w:rFonts w:ascii="Work Sans" w:hAnsi="Work Sans" w:eastAsia="Times New Roman" w:cs="Verdana"/>
          <w:b/>
          <w:bCs/>
          <w:lang w:val="es-ES" w:eastAsia="es-ES"/>
        </w:rPr>
        <w:t>DIRECCIÓN DE ENERGÍA ELÉCTRICA</w:t>
      </w:r>
    </w:p>
    <w:p w:rsidRPr="00A849D0" w:rsidR="00F60176" w:rsidP="007250AE" w:rsidRDefault="00F60176" w14:paraId="221928C1" w14:textId="77777777">
      <w:pPr>
        <w:ind w:left="4956" w:firstLine="708"/>
        <w:jc w:val="right"/>
        <w:rPr>
          <w:rFonts w:ascii="Work Sans" w:hAnsi="Work Sans"/>
          <w:lang w:val="es-ES"/>
        </w:rPr>
      </w:pPr>
    </w:p>
    <w:p w:rsidRPr="006936D0" w:rsidR="00F60176" w:rsidP="12AE42D8" w:rsidRDefault="1D650A39" w14:paraId="7B485CB3" w14:textId="6A1DEB09">
      <w:pPr>
        <w:pStyle w:val="Normal"/>
        <w:keepNext w:val="1"/>
        <w:keepLines w:val="1"/>
        <w:suppressLineNumbers w:val="0"/>
        <w:bidi w:val="0"/>
        <w:spacing w:before="0" w:beforeAutospacing="off" w:after="0" w:afterAutospacing="off" w:line="276" w:lineRule="auto"/>
        <w:ind w:left="0" w:right="0"/>
        <w:jc w:val="left"/>
        <w:rPr>
          <w:rFonts w:ascii="Work Sans" w:hAnsi="Work Sans" w:eastAsia="Times New Roman" w:cs="Verdana"/>
          <w:lang w:val="es-ES" w:eastAsia="es-ES"/>
        </w:rPr>
      </w:pPr>
      <w:r w:rsidRPr="12AE42D8" w:rsidR="1D650A39">
        <w:rPr>
          <w:rFonts w:ascii="Work Sans" w:hAnsi="Work Sans" w:eastAsia="Times New Roman" w:cs="Verdana"/>
          <w:lang w:val="es-ES" w:eastAsia="es-ES"/>
        </w:rPr>
        <w:t xml:space="preserve">Bogotá, </w:t>
      </w:r>
      <w:r w:rsidRPr="12AE42D8" w:rsidR="2A779A5A">
        <w:rPr>
          <w:rFonts w:ascii="Work Sans" w:hAnsi="Work Sans" w:eastAsia="Times New Roman" w:cs="Verdana"/>
          <w:lang w:val="es-ES" w:eastAsia="es-ES"/>
        </w:rPr>
        <w:t>5 de junio</w:t>
      </w:r>
      <w:r w:rsidRPr="12AE42D8" w:rsidR="4A6F8E97">
        <w:rPr>
          <w:rFonts w:ascii="Work Sans" w:hAnsi="Work Sans" w:eastAsia="Times New Roman" w:cs="Verdana"/>
          <w:lang w:val="es-ES" w:eastAsia="es-ES"/>
        </w:rPr>
        <w:t xml:space="preserve"> </w:t>
      </w:r>
      <w:r w:rsidRPr="12AE42D8" w:rsidR="1D650A39">
        <w:rPr>
          <w:rFonts w:ascii="Work Sans" w:hAnsi="Work Sans" w:eastAsia="Times New Roman" w:cs="Verdana"/>
          <w:lang w:val="es-ES" w:eastAsia="es-ES"/>
        </w:rPr>
        <w:t>de 202</w:t>
      </w:r>
      <w:r w:rsidRPr="12AE42D8" w:rsidR="00683D45">
        <w:rPr>
          <w:rFonts w:ascii="Work Sans" w:hAnsi="Work Sans" w:eastAsia="Times New Roman" w:cs="Verdana"/>
          <w:lang w:val="es-ES" w:eastAsia="es-ES"/>
        </w:rPr>
        <w:t>6</w:t>
      </w:r>
    </w:p>
    <w:p w:rsidRPr="006936D0" w:rsidR="008228B5" w:rsidP="007250AE" w:rsidRDefault="008228B5" w14:paraId="5AC7BFD9" w14:textId="77777777">
      <w:pPr>
        <w:autoSpaceDE w:val="0"/>
        <w:autoSpaceDN w:val="0"/>
        <w:adjustRightInd w:val="0"/>
        <w:spacing w:after="0"/>
        <w:jc w:val="both"/>
        <w:rPr>
          <w:rFonts w:ascii="Work Sans" w:hAnsi="Work Sans" w:eastAsia="Times New Roman" w:cs="Arial"/>
          <w:lang w:val="es-ES" w:eastAsia="es-ES"/>
        </w:rPr>
      </w:pPr>
    </w:p>
    <w:p w:rsidRPr="006936D0" w:rsidR="00957AD8" w:rsidP="12AE42D8" w:rsidRDefault="7EDA4F6F" w14:paraId="54FB14FF" w14:textId="12244F1A">
      <w:pPr>
        <w:pStyle w:val="Normal"/>
        <w:tabs>
          <w:tab w:val="left" w:pos="4650"/>
        </w:tabs>
        <w:spacing w:after="0"/>
        <w:ind w:right="51"/>
        <w:contextualSpacing w:val="1"/>
        <w:jc w:val="both"/>
        <w:rPr>
          <w:rFonts w:ascii="Work Sans" w:hAnsi="Work Sans" w:cs="Arial"/>
          <w:sz w:val="24"/>
          <w:szCs w:val="24"/>
        </w:rPr>
      </w:pPr>
      <w:r w:rsidRPr="12AE42D8" w:rsidR="5B535D11">
        <w:rPr>
          <w:rFonts w:ascii="Arial" w:hAnsi="Arial" w:eastAsia="Arial" w:cs="Arial"/>
          <w:b w:val="0"/>
          <w:bCs w:val="0"/>
          <w:i w:val="0"/>
          <w:iCs w:val="0"/>
          <w:caps w:val="0"/>
          <w:smallCaps w:val="0"/>
          <w:noProof w:val="0"/>
          <w:color w:val="000000" w:themeColor="text1" w:themeTint="FF" w:themeShade="FF"/>
          <w:sz w:val="22"/>
          <w:szCs w:val="22"/>
          <w:lang w:val="es-CO"/>
        </w:rPr>
        <w:t>remitió el Plan de Expansión de Transmisión 2025–2039 al Ministerio de Minas y Energía (MME), mediante oficios con radicados MME No. 1-2026-002303 (UPME No. 20261520006151) del 21 de enero de 2026 y MME No. 1-2026-018769 (UPME No. 202601520085041) del 23 de abril de 2026</w:t>
      </w:r>
      <w:r w:rsidRPr="12AE42D8" w:rsidR="7EDA4F6F">
        <w:rPr>
          <w:rFonts w:ascii="Work Sans" w:hAnsi="Work Sans" w:cs="Arial"/>
          <w:sz w:val="24"/>
          <w:szCs w:val="24"/>
        </w:rPr>
        <w:t>, la Unidad de Planeación Minero</w:t>
      </w:r>
      <w:r w:rsidRPr="12AE42D8" w:rsidR="21D07515">
        <w:rPr>
          <w:rFonts w:ascii="Work Sans" w:hAnsi="Work Sans" w:cs="Arial"/>
          <w:sz w:val="24"/>
          <w:szCs w:val="24"/>
        </w:rPr>
        <w:t>-</w:t>
      </w:r>
      <w:r w:rsidRPr="12AE42D8" w:rsidR="7EDA4F6F">
        <w:rPr>
          <w:rFonts w:ascii="Work Sans" w:hAnsi="Work Sans" w:cs="Arial"/>
          <w:sz w:val="24"/>
          <w:szCs w:val="24"/>
        </w:rPr>
        <w:t>Energética</w:t>
      </w:r>
      <w:r w:rsidRPr="12AE42D8" w:rsidR="7C95DCD6">
        <w:rPr>
          <w:rFonts w:ascii="Work Sans" w:hAnsi="Work Sans" w:cs="Arial"/>
          <w:sz w:val="24"/>
          <w:szCs w:val="24"/>
        </w:rPr>
        <w:t xml:space="preserve"> (</w:t>
      </w:r>
      <w:r w:rsidRPr="12AE42D8" w:rsidR="7EDA4F6F">
        <w:rPr>
          <w:rFonts w:ascii="Work Sans" w:hAnsi="Work Sans" w:cs="Arial"/>
          <w:sz w:val="24"/>
          <w:szCs w:val="24"/>
        </w:rPr>
        <w:t>UPME</w:t>
      </w:r>
      <w:r w:rsidRPr="12AE42D8" w:rsidR="7005AEC6">
        <w:rPr>
          <w:rFonts w:ascii="Work Sans" w:hAnsi="Work Sans" w:cs="Arial"/>
          <w:sz w:val="24"/>
          <w:szCs w:val="24"/>
        </w:rPr>
        <w:t>)</w:t>
      </w:r>
      <w:r w:rsidRPr="12AE42D8" w:rsidR="7EDA4F6F">
        <w:rPr>
          <w:rFonts w:ascii="Work Sans" w:hAnsi="Work Sans" w:cs="Arial"/>
          <w:sz w:val="24"/>
          <w:szCs w:val="24"/>
        </w:rPr>
        <w:t xml:space="preserve"> envió </w:t>
      </w:r>
      <w:r w:rsidRPr="12AE42D8" w:rsidR="5A11DB24">
        <w:rPr>
          <w:rFonts w:ascii="Work Sans" w:hAnsi="Work Sans" w:cs="Arial"/>
          <w:sz w:val="24"/>
          <w:szCs w:val="24"/>
        </w:rPr>
        <w:t xml:space="preserve">el </w:t>
      </w:r>
      <w:r w:rsidRPr="12AE42D8" w:rsidR="7EDA4F6F">
        <w:rPr>
          <w:rFonts w:ascii="Work Sans" w:hAnsi="Work Sans" w:cs="Arial"/>
          <w:sz w:val="24"/>
          <w:szCs w:val="24"/>
        </w:rPr>
        <w:t>"</w:t>
      </w:r>
      <w:r w:rsidRPr="12AE42D8" w:rsidR="2418FE0E">
        <w:rPr>
          <w:rFonts w:ascii="Work Sans" w:hAnsi="Work Sans" w:cs="Arial"/>
          <w:i w:val="1"/>
          <w:iCs w:val="1"/>
          <w:sz w:val="24"/>
          <w:szCs w:val="24"/>
        </w:rPr>
        <w:t>Plan de Expansión de Transmisión 202</w:t>
      </w:r>
      <w:r w:rsidRPr="12AE42D8" w:rsidR="0080154B">
        <w:rPr>
          <w:rFonts w:ascii="Work Sans" w:hAnsi="Work Sans" w:cs="Arial"/>
          <w:i w:val="1"/>
          <w:iCs w:val="1"/>
          <w:sz w:val="24"/>
          <w:szCs w:val="24"/>
        </w:rPr>
        <w:t>5</w:t>
      </w:r>
      <w:r w:rsidRPr="12AE42D8" w:rsidR="21D07515">
        <w:rPr>
          <w:rFonts w:ascii="Work Sans" w:hAnsi="Work Sans" w:cs="Arial"/>
          <w:i w:val="1"/>
          <w:iCs w:val="1"/>
          <w:sz w:val="24"/>
          <w:szCs w:val="24"/>
        </w:rPr>
        <w:t>-</w:t>
      </w:r>
      <w:r w:rsidRPr="12AE42D8" w:rsidR="2418FE0E">
        <w:rPr>
          <w:rFonts w:ascii="Work Sans" w:hAnsi="Work Sans" w:cs="Arial"/>
          <w:i w:val="1"/>
          <w:iCs w:val="1"/>
          <w:sz w:val="24"/>
          <w:szCs w:val="24"/>
        </w:rPr>
        <w:t>203</w:t>
      </w:r>
      <w:r w:rsidRPr="12AE42D8" w:rsidR="0080154B">
        <w:rPr>
          <w:rFonts w:ascii="Work Sans" w:hAnsi="Work Sans" w:cs="Arial"/>
          <w:i w:val="1"/>
          <w:iCs w:val="1"/>
          <w:sz w:val="24"/>
          <w:szCs w:val="24"/>
        </w:rPr>
        <w:t>9</w:t>
      </w:r>
      <w:r w:rsidRPr="12AE42D8" w:rsidR="7EDA4F6F">
        <w:rPr>
          <w:rFonts w:ascii="Work Sans" w:hAnsi="Work Sans" w:cs="Arial"/>
          <w:sz w:val="24"/>
          <w:szCs w:val="24"/>
        </w:rPr>
        <w:t>", para la revisión, aprobación y adopción por parte del Ministerio de Minas y Energía</w:t>
      </w:r>
      <w:r w:rsidRPr="12AE42D8" w:rsidR="1D31CD8A">
        <w:rPr>
          <w:rFonts w:ascii="Work Sans" w:hAnsi="Work Sans" w:cs="Arial"/>
          <w:sz w:val="24"/>
          <w:szCs w:val="24"/>
        </w:rPr>
        <w:t xml:space="preserve">. Estos documentos </w:t>
      </w:r>
      <w:r w:rsidRPr="12AE42D8" w:rsidR="7EDA4F6F">
        <w:rPr>
          <w:rFonts w:ascii="Work Sans" w:hAnsi="Work Sans" w:cs="Arial"/>
          <w:sz w:val="24"/>
          <w:szCs w:val="24"/>
        </w:rPr>
        <w:t>contiene</w:t>
      </w:r>
      <w:r w:rsidRPr="12AE42D8" w:rsidR="1D31CD8A">
        <w:rPr>
          <w:rFonts w:ascii="Work Sans" w:hAnsi="Work Sans" w:cs="Arial"/>
          <w:sz w:val="24"/>
          <w:szCs w:val="24"/>
        </w:rPr>
        <w:t>n</w:t>
      </w:r>
      <w:r w:rsidRPr="12AE42D8" w:rsidR="7EDA4F6F">
        <w:rPr>
          <w:rFonts w:ascii="Work Sans" w:hAnsi="Work Sans" w:cs="Arial"/>
          <w:sz w:val="24"/>
          <w:szCs w:val="24"/>
        </w:rPr>
        <w:t xml:space="preserve"> obras</w:t>
      </w:r>
      <w:r w:rsidRPr="12AE42D8" w:rsidR="1D31CD8A">
        <w:rPr>
          <w:rFonts w:ascii="Work Sans" w:hAnsi="Work Sans" w:cs="Arial"/>
          <w:sz w:val="24"/>
          <w:szCs w:val="24"/>
        </w:rPr>
        <w:t xml:space="preserve"> </w:t>
      </w:r>
      <w:r w:rsidRPr="12AE42D8" w:rsidR="7EDA4F6F">
        <w:rPr>
          <w:rFonts w:ascii="Work Sans" w:hAnsi="Work Sans" w:cs="Arial"/>
          <w:sz w:val="24"/>
          <w:szCs w:val="24"/>
        </w:rPr>
        <w:t>propuestas por la</w:t>
      </w:r>
      <w:r w:rsidRPr="12AE42D8" w:rsidR="4D4C2FB7">
        <w:rPr>
          <w:rFonts w:ascii="Work Sans" w:hAnsi="Work Sans" w:cs="Arial"/>
          <w:sz w:val="24"/>
          <w:szCs w:val="24"/>
        </w:rPr>
        <w:t xml:space="preserve"> Unidad de Planeación Minero</w:t>
      </w:r>
      <w:r w:rsidRPr="12AE42D8" w:rsidR="21D07515">
        <w:rPr>
          <w:rFonts w:ascii="Work Sans" w:hAnsi="Work Sans" w:cs="Arial"/>
          <w:sz w:val="24"/>
          <w:szCs w:val="24"/>
        </w:rPr>
        <w:t>-</w:t>
      </w:r>
      <w:r w:rsidRPr="12AE42D8" w:rsidR="4D4C2FB7">
        <w:rPr>
          <w:rFonts w:ascii="Work Sans" w:hAnsi="Work Sans" w:cs="Arial"/>
          <w:sz w:val="24"/>
          <w:szCs w:val="24"/>
        </w:rPr>
        <w:t>Energética</w:t>
      </w:r>
      <w:r w:rsidRPr="12AE42D8" w:rsidR="7EDA4F6F">
        <w:rPr>
          <w:rFonts w:ascii="Work Sans" w:hAnsi="Work Sans" w:cs="Arial"/>
          <w:sz w:val="24"/>
          <w:szCs w:val="24"/>
        </w:rPr>
        <w:t xml:space="preserve"> UPME</w:t>
      </w:r>
      <w:r w:rsidRPr="12AE42D8" w:rsidR="6B021871">
        <w:rPr>
          <w:rFonts w:ascii="Work Sans" w:hAnsi="Work Sans" w:cs="Arial"/>
          <w:sz w:val="24"/>
          <w:szCs w:val="24"/>
        </w:rPr>
        <w:t xml:space="preserve"> y aprobadas por el Comité Asesor de Planeamiento de la Transmisión </w:t>
      </w:r>
      <w:r w:rsidRPr="12AE42D8" w:rsidR="5BBE01A8">
        <w:rPr>
          <w:rFonts w:ascii="Work Sans" w:hAnsi="Work Sans" w:cs="Arial"/>
          <w:sz w:val="24"/>
          <w:szCs w:val="24"/>
        </w:rPr>
        <w:t>(</w:t>
      </w:r>
      <w:r w:rsidRPr="12AE42D8" w:rsidR="6B021871">
        <w:rPr>
          <w:rFonts w:ascii="Work Sans" w:hAnsi="Work Sans" w:cs="Arial"/>
          <w:sz w:val="24"/>
          <w:szCs w:val="24"/>
        </w:rPr>
        <w:t>CAPT</w:t>
      </w:r>
      <w:r w:rsidRPr="12AE42D8" w:rsidR="58F6D99B">
        <w:rPr>
          <w:rFonts w:ascii="Work Sans" w:hAnsi="Work Sans" w:cs="Arial"/>
          <w:sz w:val="24"/>
          <w:szCs w:val="24"/>
        </w:rPr>
        <w:t>)</w:t>
      </w:r>
      <w:r w:rsidRPr="12AE42D8" w:rsidR="7EDA4F6F">
        <w:rPr>
          <w:rFonts w:ascii="Work Sans" w:hAnsi="Work Sans" w:cs="Arial"/>
          <w:sz w:val="24"/>
          <w:szCs w:val="24"/>
        </w:rPr>
        <w:t xml:space="preserve">. </w:t>
      </w:r>
    </w:p>
    <w:p w:rsidRPr="006936D0" w:rsidR="00A849D0" w:rsidP="007250AE" w:rsidRDefault="00A849D0" w14:paraId="487B2041" w14:textId="77777777">
      <w:pPr>
        <w:tabs>
          <w:tab w:val="left" w:pos="4650"/>
        </w:tabs>
        <w:spacing w:after="0"/>
        <w:ind w:right="51"/>
        <w:contextualSpacing/>
        <w:jc w:val="both"/>
        <w:rPr>
          <w:rFonts w:ascii="Work Sans" w:hAnsi="Work Sans" w:cs="Arial"/>
          <w:sz w:val="24"/>
          <w:szCs w:val="24"/>
        </w:rPr>
      </w:pPr>
    </w:p>
    <w:p w:rsidRPr="006936D0" w:rsidR="00500B8A" w:rsidP="007250AE" w:rsidRDefault="00500B8A" w14:paraId="71746CD5" w14:textId="77777777">
      <w:pPr>
        <w:tabs>
          <w:tab w:val="left" w:pos="4650"/>
        </w:tabs>
        <w:spacing w:after="0"/>
        <w:ind w:right="51"/>
        <w:contextualSpacing/>
        <w:jc w:val="both"/>
        <w:rPr>
          <w:rFonts w:ascii="Work Sans" w:hAnsi="Work Sans" w:cs="Arial"/>
          <w:b/>
          <w:bCs/>
          <w:sz w:val="24"/>
          <w:szCs w:val="24"/>
        </w:rPr>
      </w:pPr>
      <w:r w:rsidRPr="006936D0">
        <w:rPr>
          <w:rFonts w:ascii="Work Sans" w:hAnsi="Work Sans" w:cs="Arial"/>
          <w:b/>
          <w:bCs/>
          <w:sz w:val="24"/>
          <w:szCs w:val="24"/>
        </w:rPr>
        <w:t>1. Problemática y objetivo de la norma</w:t>
      </w:r>
    </w:p>
    <w:p w:rsidRPr="006936D0" w:rsidR="00500B8A" w:rsidP="007250AE" w:rsidRDefault="00500B8A" w14:paraId="1A80257C" w14:textId="77777777">
      <w:pPr>
        <w:tabs>
          <w:tab w:val="left" w:pos="4650"/>
        </w:tabs>
        <w:spacing w:after="0"/>
        <w:ind w:right="51"/>
        <w:contextualSpacing/>
        <w:jc w:val="both"/>
        <w:rPr>
          <w:rFonts w:ascii="Work Sans" w:hAnsi="Work Sans" w:cs="Arial"/>
          <w:sz w:val="24"/>
          <w:szCs w:val="24"/>
        </w:rPr>
      </w:pPr>
    </w:p>
    <w:p w:rsidRPr="006936D0" w:rsidR="00500B8A" w:rsidP="007250AE" w:rsidRDefault="4E4B3094" w14:paraId="27570DBA" w14:textId="3C822EEA">
      <w:pPr>
        <w:tabs>
          <w:tab w:val="left" w:pos="4650"/>
        </w:tabs>
        <w:spacing w:after="0"/>
        <w:ind w:right="51"/>
        <w:contextualSpacing/>
        <w:jc w:val="both"/>
        <w:rPr>
          <w:rFonts w:ascii="Work Sans" w:hAnsi="Work Sans" w:cs="Arial"/>
          <w:sz w:val="24"/>
          <w:szCs w:val="24"/>
        </w:rPr>
      </w:pPr>
      <w:r w:rsidRPr="006936D0">
        <w:rPr>
          <w:rFonts w:ascii="Work Sans" w:hAnsi="Work Sans" w:cs="Arial"/>
          <w:sz w:val="24"/>
          <w:szCs w:val="24"/>
        </w:rPr>
        <w:t>La Unidad de Planeación Minero</w:t>
      </w:r>
      <w:r w:rsidRPr="006936D0" w:rsidR="21D07515">
        <w:rPr>
          <w:rFonts w:ascii="Work Sans" w:hAnsi="Work Sans" w:cs="Arial"/>
          <w:sz w:val="24"/>
          <w:szCs w:val="24"/>
        </w:rPr>
        <w:t>-</w:t>
      </w:r>
      <w:r w:rsidRPr="006936D0">
        <w:rPr>
          <w:rFonts w:ascii="Work Sans" w:hAnsi="Work Sans" w:cs="Arial"/>
          <w:sz w:val="24"/>
          <w:szCs w:val="24"/>
        </w:rPr>
        <w:t>Energética</w:t>
      </w:r>
      <w:r w:rsidRPr="006936D0" w:rsidR="2CD90E90">
        <w:rPr>
          <w:rFonts w:ascii="Work Sans" w:hAnsi="Work Sans" w:cs="Arial"/>
          <w:sz w:val="24"/>
          <w:szCs w:val="24"/>
        </w:rPr>
        <w:t xml:space="preserve"> (</w:t>
      </w:r>
      <w:r w:rsidRPr="006936D0">
        <w:rPr>
          <w:rFonts w:ascii="Work Sans" w:hAnsi="Work Sans" w:cs="Arial"/>
          <w:sz w:val="24"/>
          <w:szCs w:val="24"/>
        </w:rPr>
        <w:t>UPME</w:t>
      </w:r>
      <w:r w:rsidRPr="006936D0" w:rsidR="1E128685">
        <w:rPr>
          <w:rFonts w:ascii="Work Sans" w:hAnsi="Work Sans" w:cs="Arial"/>
          <w:sz w:val="24"/>
          <w:szCs w:val="24"/>
        </w:rPr>
        <w:t>)</w:t>
      </w:r>
      <w:r w:rsidRPr="006936D0">
        <w:rPr>
          <w:rFonts w:ascii="Work Sans" w:hAnsi="Work Sans" w:cs="Arial"/>
          <w:sz w:val="24"/>
          <w:szCs w:val="24"/>
        </w:rPr>
        <w:t>, de acuerdo con las competencias otorgadas por el artículo 17 de la Ley 143 de 1994, se encarga de formular planes y programas para garantizar la seguridad y confiabilidad en el suministro de energía eléctrica del país, es por ello por lo que, al identificar las necesidades futuras se formulan planes (obras de expansión) para garantizar</w:t>
      </w:r>
      <w:r w:rsidRPr="006936D0" w:rsidR="32F386CF">
        <w:rPr>
          <w:rFonts w:ascii="Work Sans" w:hAnsi="Work Sans" w:cs="Arial"/>
          <w:sz w:val="24"/>
          <w:szCs w:val="24"/>
        </w:rPr>
        <w:t xml:space="preserve"> </w:t>
      </w:r>
      <w:r w:rsidRPr="006936D0">
        <w:rPr>
          <w:rFonts w:ascii="Work Sans" w:hAnsi="Work Sans" w:cs="Arial"/>
          <w:sz w:val="24"/>
          <w:szCs w:val="24"/>
        </w:rPr>
        <w:t>que se satisfagan de manera adecuada y conforme a la normatividad. Así, en 202</w:t>
      </w:r>
      <w:r w:rsidR="006629BE">
        <w:rPr>
          <w:rFonts w:ascii="Work Sans" w:hAnsi="Work Sans" w:cs="Arial"/>
          <w:sz w:val="24"/>
          <w:szCs w:val="24"/>
        </w:rPr>
        <w:t>5</w:t>
      </w:r>
      <w:r w:rsidRPr="006936D0">
        <w:rPr>
          <w:rFonts w:ascii="Work Sans" w:hAnsi="Work Sans" w:cs="Arial"/>
          <w:sz w:val="24"/>
          <w:szCs w:val="24"/>
        </w:rPr>
        <w:t xml:space="preserve">, la UPME elaboró el </w:t>
      </w:r>
      <w:r w:rsidRPr="006936D0">
        <w:rPr>
          <w:rFonts w:ascii="Work Sans" w:hAnsi="Work Sans" w:cs="Arial"/>
          <w:i/>
          <w:iCs/>
          <w:sz w:val="24"/>
          <w:szCs w:val="24"/>
        </w:rPr>
        <w:t>“Plan de Expansión de Transmisión 202</w:t>
      </w:r>
      <w:r w:rsidR="006629BE">
        <w:rPr>
          <w:rFonts w:ascii="Work Sans" w:hAnsi="Work Sans" w:cs="Arial"/>
          <w:i/>
          <w:iCs/>
          <w:sz w:val="24"/>
          <w:szCs w:val="24"/>
        </w:rPr>
        <w:t>5</w:t>
      </w:r>
      <w:r w:rsidRPr="006936D0" w:rsidR="21D07515">
        <w:rPr>
          <w:rFonts w:ascii="Work Sans" w:hAnsi="Work Sans" w:cs="Arial"/>
          <w:i/>
          <w:iCs/>
          <w:sz w:val="24"/>
          <w:szCs w:val="24"/>
        </w:rPr>
        <w:t>-</w:t>
      </w:r>
      <w:r w:rsidRPr="006936D0">
        <w:rPr>
          <w:rFonts w:ascii="Work Sans" w:hAnsi="Work Sans" w:cs="Arial"/>
          <w:i/>
          <w:iCs/>
          <w:sz w:val="24"/>
          <w:szCs w:val="24"/>
        </w:rPr>
        <w:t>203</w:t>
      </w:r>
      <w:r w:rsidR="006629BE">
        <w:rPr>
          <w:rFonts w:ascii="Work Sans" w:hAnsi="Work Sans" w:cs="Arial"/>
          <w:i/>
          <w:iCs/>
          <w:sz w:val="24"/>
          <w:szCs w:val="24"/>
        </w:rPr>
        <w:t>9</w:t>
      </w:r>
      <w:r w:rsidRPr="006936D0">
        <w:rPr>
          <w:rFonts w:ascii="Work Sans" w:hAnsi="Work Sans" w:cs="Arial"/>
          <w:i/>
          <w:iCs/>
          <w:sz w:val="24"/>
          <w:szCs w:val="24"/>
        </w:rPr>
        <w:t>”</w:t>
      </w:r>
      <w:r w:rsidRPr="006936D0" w:rsidR="6FF39D8E">
        <w:rPr>
          <w:rFonts w:ascii="Work Sans" w:hAnsi="Work Sans" w:cs="Arial"/>
          <w:i/>
          <w:iCs/>
          <w:sz w:val="24"/>
          <w:szCs w:val="24"/>
        </w:rPr>
        <w:t>.</w:t>
      </w:r>
    </w:p>
    <w:p w:rsidRPr="006936D0" w:rsidR="00500B8A" w:rsidP="007250AE" w:rsidRDefault="00500B8A" w14:paraId="51B65436" w14:textId="77777777">
      <w:pPr>
        <w:tabs>
          <w:tab w:val="left" w:pos="4650"/>
        </w:tabs>
        <w:spacing w:after="0"/>
        <w:ind w:right="51"/>
        <w:contextualSpacing/>
        <w:jc w:val="both"/>
        <w:rPr>
          <w:rFonts w:ascii="Work Sans" w:hAnsi="Work Sans" w:cs="Arial"/>
          <w:sz w:val="24"/>
          <w:szCs w:val="24"/>
        </w:rPr>
      </w:pPr>
    </w:p>
    <w:p w:rsidRPr="006936D0" w:rsidR="00A849D0" w:rsidP="007250AE" w:rsidRDefault="4DA46C28" w14:paraId="238D756A" w14:textId="3037F41A">
      <w:pPr>
        <w:tabs>
          <w:tab w:val="left" w:pos="4650"/>
        </w:tabs>
        <w:spacing w:after="0"/>
        <w:ind w:right="51"/>
        <w:jc w:val="both"/>
        <w:rPr>
          <w:rFonts w:ascii="Work Sans" w:hAnsi="Work Sans" w:cs="Arial"/>
          <w:sz w:val="24"/>
          <w:szCs w:val="24"/>
        </w:rPr>
      </w:pPr>
      <w:r w:rsidRPr="6B1D62BB">
        <w:rPr>
          <w:rFonts w:ascii="Work Sans" w:hAnsi="Work Sans" w:cs="Arial"/>
          <w:sz w:val="24"/>
          <w:szCs w:val="24"/>
        </w:rPr>
        <w:t>El sistema eléctrico colombiano actual se caracteriza por su robustez y capacidad de soportar la demanda existente, gracias a una infraestructura desarrollada y consolidada a lo largo de los años. No obstante, la dinámica del sector energético</w:t>
      </w:r>
      <w:r w:rsidRPr="6B1D62BB" w:rsidR="33C661EA">
        <w:rPr>
          <w:rFonts w:ascii="Work Sans" w:hAnsi="Work Sans" w:cs="Arial"/>
          <w:sz w:val="24"/>
          <w:szCs w:val="24"/>
        </w:rPr>
        <w:t xml:space="preserve"> es altamente susceptible a cambios, los cuales </w:t>
      </w:r>
      <w:r w:rsidRPr="6B1D62BB">
        <w:rPr>
          <w:rFonts w:ascii="Work Sans" w:hAnsi="Work Sans" w:cs="Arial"/>
          <w:sz w:val="24"/>
          <w:szCs w:val="24"/>
        </w:rPr>
        <w:t xml:space="preserve">está experimentando, impulsado por el acelerado crecimiento de la demanda eléctrica y la </w:t>
      </w:r>
      <w:r w:rsidRPr="6B1D62BB" w:rsidR="011FCE90">
        <w:rPr>
          <w:rFonts w:ascii="Work Sans" w:hAnsi="Work Sans" w:cs="Arial"/>
          <w:sz w:val="24"/>
          <w:szCs w:val="24"/>
        </w:rPr>
        <w:t>transición energética enfocad</w:t>
      </w:r>
      <w:r w:rsidRPr="6B1D62BB" w:rsidR="00922047">
        <w:rPr>
          <w:rFonts w:ascii="Work Sans" w:hAnsi="Work Sans" w:cs="Arial"/>
          <w:sz w:val="24"/>
          <w:szCs w:val="24"/>
        </w:rPr>
        <w:t>a</w:t>
      </w:r>
      <w:r w:rsidRPr="6B1D62BB" w:rsidR="011FCE90">
        <w:rPr>
          <w:rFonts w:ascii="Work Sans" w:hAnsi="Work Sans" w:cs="Arial"/>
          <w:sz w:val="24"/>
          <w:szCs w:val="24"/>
        </w:rPr>
        <w:t xml:space="preserve"> en la </w:t>
      </w:r>
      <w:r w:rsidRPr="6B1D62BB">
        <w:rPr>
          <w:rFonts w:ascii="Work Sans" w:hAnsi="Work Sans" w:cs="Arial"/>
          <w:sz w:val="24"/>
          <w:szCs w:val="24"/>
        </w:rPr>
        <w:t xml:space="preserve">necesidad de diversificar la matriz de generación, donde las Fuentes Renovables </w:t>
      </w:r>
      <w:r w:rsidRPr="6B1D62BB" w:rsidR="3DDB1A52">
        <w:rPr>
          <w:rFonts w:ascii="Work Sans" w:hAnsi="Work Sans" w:cs="Arial"/>
          <w:sz w:val="24"/>
          <w:szCs w:val="24"/>
        </w:rPr>
        <w:t>n</w:t>
      </w:r>
      <w:r w:rsidRPr="6B1D62BB">
        <w:rPr>
          <w:rFonts w:ascii="Work Sans" w:hAnsi="Work Sans" w:cs="Arial"/>
          <w:sz w:val="24"/>
          <w:szCs w:val="24"/>
        </w:rPr>
        <w:t>o Convencionales juegan un papel muy importante. Este escenario plantea la imperiosa necesidad de un proceso de planeación del sistema de transmisión que sea constante, oportuno y eficiente.</w:t>
      </w:r>
    </w:p>
    <w:p w:rsidRPr="006936D0" w:rsidR="00A849D0" w:rsidP="007250AE" w:rsidRDefault="00A849D0" w14:paraId="44DC70F5" w14:textId="57E64C88">
      <w:pPr>
        <w:tabs>
          <w:tab w:val="left" w:pos="4650"/>
        </w:tabs>
        <w:spacing w:after="0"/>
        <w:ind w:right="51"/>
        <w:jc w:val="both"/>
        <w:rPr>
          <w:rFonts w:ascii="Work Sans" w:hAnsi="Work Sans" w:cs="Arial"/>
          <w:sz w:val="24"/>
          <w:szCs w:val="24"/>
        </w:rPr>
      </w:pPr>
    </w:p>
    <w:p w:rsidR="007F1E9B" w:rsidP="007250AE" w:rsidRDefault="4DA46C28" w14:paraId="3FCD8AE4" w14:textId="179A9C97">
      <w:pPr>
        <w:tabs>
          <w:tab w:val="left" w:pos="4650"/>
        </w:tabs>
        <w:spacing w:after="0"/>
        <w:ind w:right="51"/>
        <w:jc w:val="both"/>
      </w:pPr>
      <w:r w:rsidRPr="6B1D62BB">
        <w:rPr>
          <w:rFonts w:ascii="Work Sans" w:hAnsi="Work Sans" w:cs="Arial"/>
          <w:sz w:val="24"/>
          <w:szCs w:val="24"/>
        </w:rPr>
        <w:t xml:space="preserve">En este contexto, se han identificado necesidades en algunas </w:t>
      </w:r>
      <w:r w:rsidRPr="6B1D62BB" w:rsidR="000840AE">
        <w:rPr>
          <w:rFonts w:ascii="Work Sans" w:hAnsi="Work Sans" w:cs="Arial"/>
          <w:sz w:val="24"/>
          <w:szCs w:val="24"/>
        </w:rPr>
        <w:t xml:space="preserve">áreas y subáreas operativas como </w:t>
      </w:r>
      <w:r w:rsidRPr="6B1D62BB" w:rsidR="00123C42">
        <w:rPr>
          <w:rFonts w:ascii="Work Sans" w:hAnsi="Work Sans" w:cs="Arial"/>
          <w:sz w:val="24"/>
          <w:szCs w:val="24"/>
        </w:rPr>
        <w:t>Caribe (</w:t>
      </w:r>
      <w:r w:rsidRPr="6B1D62BB" w:rsidR="000840AE">
        <w:rPr>
          <w:rFonts w:ascii="Work Sans" w:hAnsi="Work Sans" w:cs="Arial"/>
          <w:sz w:val="24"/>
          <w:szCs w:val="24"/>
        </w:rPr>
        <w:t xml:space="preserve">subáreas </w:t>
      </w:r>
      <w:r w:rsidRPr="6B1D62BB" w:rsidR="3CE238D9">
        <w:rPr>
          <w:rFonts w:ascii="Work Sans" w:hAnsi="Work Sans" w:cs="Arial"/>
          <w:sz w:val="24"/>
          <w:szCs w:val="24"/>
        </w:rPr>
        <w:t>Córdoba</w:t>
      </w:r>
      <w:r w:rsidRPr="6B1D62BB" w:rsidR="21D07515">
        <w:rPr>
          <w:rFonts w:ascii="Work Sans" w:hAnsi="Work Sans" w:cs="Arial"/>
          <w:sz w:val="24"/>
          <w:szCs w:val="24"/>
        </w:rPr>
        <w:t>-</w:t>
      </w:r>
      <w:r w:rsidRPr="6B1D62BB" w:rsidR="3CE238D9">
        <w:rPr>
          <w:rFonts w:ascii="Work Sans" w:hAnsi="Work Sans" w:cs="Arial"/>
          <w:sz w:val="24"/>
          <w:szCs w:val="24"/>
        </w:rPr>
        <w:t>Sucre</w:t>
      </w:r>
      <w:r w:rsidRPr="6B1D62BB" w:rsidR="00123C42">
        <w:rPr>
          <w:rFonts w:ascii="Work Sans" w:hAnsi="Work Sans" w:cs="Arial"/>
          <w:sz w:val="24"/>
          <w:szCs w:val="24"/>
        </w:rPr>
        <w:t>, Atlántico, Bolívar, GCM)</w:t>
      </w:r>
      <w:r w:rsidRPr="6B1D62BB" w:rsidR="3CE238D9">
        <w:rPr>
          <w:rFonts w:ascii="Work Sans" w:hAnsi="Work Sans" w:cs="Arial"/>
          <w:sz w:val="24"/>
          <w:szCs w:val="24"/>
        </w:rPr>
        <w:t>,</w:t>
      </w:r>
      <w:r w:rsidRPr="6B1D62BB" w:rsidR="00173E50">
        <w:rPr>
          <w:rFonts w:ascii="Work Sans" w:hAnsi="Work Sans" w:cs="Arial"/>
          <w:sz w:val="24"/>
          <w:szCs w:val="24"/>
        </w:rPr>
        <w:t xml:space="preserve"> Antioquia-Chocó (</w:t>
      </w:r>
      <w:r w:rsidRPr="6B1D62BB" w:rsidR="000840AE">
        <w:rPr>
          <w:rFonts w:ascii="Work Sans" w:hAnsi="Work Sans" w:cs="Arial"/>
          <w:sz w:val="24"/>
          <w:szCs w:val="24"/>
        </w:rPr>
        <w:t xml:space="preserve">subáreas </w:t>
      </w:r>
      <w:r w:rsidRPr="6B1D62BB" w:rsidR="00173E50">
        <w:rPr>
          <w:rFonts w:ascii="Work Sans" w:hAnsi="Work Sans" w:cs="Arial"/>
          <w:sz w:val="24"/>
          <w:szCs w:val="24"/>
        </w:rPr>
        <w:t>Chocó, Antioquia)</w:t>
      </w:r>
      <w:r w:rsidRPr="6B1D62BB" w:rsidR="00FD5A6D">
        <w:rPr>
          <w:rFonts w:ascii="Work Sans" w:hAnsi="Work Sans" w:cs="Arial"/>
          <w:sz w:val="24"/>
          <w:szCs w:val="24"/>
        </w:rPr>
        <w:t>, Oriental (</w:t>
      </w:r>
      <w:r w:rsidRPr="6B1D62BB" w:rsidR="000840AE">
        <w:rPr>
          <w:rFonts w:ascii="Work Sans" w:hAnsi="Work Sans" w:cs="Arial"/>
          <w:sz w:val="24"/>
          <w:szCs w:val="24"/>
        </w:rPr>
        <w:t xml:space="preserve">subáreas </w:t>
      </w:r>
      <w:r w:rsidRPr="6B1D62BB" w:rsidR="00FD5A6D">
        <w:rPr>
          <w:rFonts w:ascii="Work Sans" w:hAnsi="Work Sans" w:cs="Arial"/>
          <w:sz w:val="24"/>
          <w:szCs w:val="24"/>
        </w:rPr>
        <w:t xml:space="preserve">Meta, </w:t>
      </w:r>
      <w:r w:rsidRPr="6B1D62BB" w:rsidR="00A634E7">
        <w:rPr>
          <w:rFonts w:ascii="Work Sans" w:hAnsi="Work Sans" w:cs="Arial"/>
          <w:sz w:val="24"/>
          <w:szCs w:val="24"/>
        </w:rPr>
        <w:t>Sabana Occidente</w:t>
      </w:r>
      <w:r w:rsidRPr="6B1D62BB" w:rsidR="00FD5A6D">
        <w:rPr>
          <w:rFonts w:ascii="Work Sans" w:hAnsi="Work Sans" w:cs="Arial"/>
          <w:sz w:val="24"/>
          <w:szCs w:val="24"/>
        </w:rPr>
        <w:t>)</w:t>
      </w:r>
      <w:r w:rsidRPr="6B1D62BB" w:rsidR="3CE238D9">
        <w:rPr>
          <w:rFonts w:ascii="Work Sans" w:hAnsi="Work Sans" w:cs="Arial"/>
          <w:sz w:val="24"/>
          <w:szCs w:val="24"/>
        </w:rPr>
        <w:t xml:space="preserve"> </w:t>
      </w:r>
      <w:r w:rsidRPr="6B1D62BB" w:rsidR="00FD5A6D">
        <w:rPr>
          <w:rFonts w:ascii="Work Sans" w:hAnsi="Work Sans" w:cs="Arial"/>
          <w:sz w:val="24"/>
          <w:szCs w:val="24"/>
        </w:rPr>
        <w:t>y Suroccidental (</w:t>
      </w:r>
      <w:r w:rsidRPr="6B1D62BB" w:rsidR="000840AE">
        <w:rPr>
          <w:rFonts w:ascii="Work Sans" w:hAnsi="Work Sans" w:cs="Arial"/>
          <w:sz w:val="24"/>
          <w:szCs w:val="24"/>
        </w:rPr>
        <w:t xml:space="preserve">subáreas </w:t>
      </w:r>
      <w:r w:rsidRPr="6B1D62BB" w:rsidR="00FD5A6D">
        <w:rPr>
          <w:rFonts w:ascii="Work Sans" w:hAnsi="Work Sans" w:cs="Arial"/>
          <w:sz w:val="24"/>
          <w:szCs w:val="24"/>
        </w:rPr>
        <w:t xml:space="preserve">Cauca-Nariño, CQR y Valle) </w:t>
      </w:r>
      <w:r w:rsidRPr="6B1D62BB">
        <w:rPr>
          <w:rFonts w:ascii="Work Sans" w:hAnsi="Work Sans" w:cs="Arial"/>
          <w:sz w:val="24"/>
          <w:szCs w:val="24"/>
        </w:rPr>
        <w:t xml:space="preserve">del </w:t>
      </w:r>
      <w:r w:rsidRPr="6B1D62BB" w:rsidR="735DFA1D">
        <w:rPr>
          <w:rFonts w:ascii="Work Sans" w:hAnsi="Work Sans" w:cs="Arial"/>
          <w:sz w:val="24"/>
          <w:szCs w:val="24"/>
        </w:rPr>
        <w:t>S</w:t>
      </w:r>
      <w:r w:rsidRPr="6B1D62BB">
        <w:rPr>
          <w:rFonts w:ascii="Work Sans" w:hAnsi="Work Sans" w:cs="Arial"/>
          <w:sz w:val="24"/>
          <w:szCs w:val="24"/>
        </w:rPr>
        <w:t xml:space="preserve">istema </w:t>
      </w:r>
      <w:r w:rsidRPr="6B1D62BB" w:rsidR="1C823C82">
        <w:rPr>
          <w:rFonts w:ascii="Work Sans" w:hAnsi="Work Sans" w:cs="Arial"/>
          <w:sz w:val="24"/>
          <w:szCs w:val="24"/>
        </w:rPr>
        <w:t xml:space="preserve">Interconectado Nacional (SIN) </w:t>
      </w:r>
      <w:r w:rsidRPr="6B1D62BB">
        <w:rPr>
          <w:rFonts w:ascii="Work Sans" w:hAnsi="Work Sans" w:cs="Arial"/>
          <w:sz w:val="24"/>
          <w:szCs w:val="24"/>
        </w:rPr>
        <w:t>que a la fecha requieren</w:t>
      </w:r>
      <w:r w:rsidRPr="6B1D62BB" w:rsidR="7381FB59">
        <w:rPr>
          <w:rFonts w:ascii="Work Sans" w:hAnsi="Work Sans" w:cs="Arial"/>
          <w:sz w:val="24"/>
          <w:szCs w:val="24"/>
        </w:rPr>
        <w:t xml:space="preserve"> obras y</w:t>
      </w:r>
      <w:r w:rsidRPr="6B1D62BB">
        <w:rPr>
          <w:rFonts w:ascii="Work Sans" w:hAnsi="Work Sans" w:cs="Arial"/>
          <w:sz w:val="24"/>
          <w:szCs w:val="24"/>
        </w:rPr>
        <w:t xml:space="preserve"> acciones operativas para garantizar la calidad, confiabilidad y seguridad en la operación del sistema.</w:t>
      </w:r>
    </w:p>
    <w:p w:rsidR="007F1E9B" w:rsidP="007250AE" w:rsidRDefault="007F1E9B" w14:paraId="7F50B86D" w14:textId="5DFF66D3">
      <w:pPr>
        <w:tabs>
          <w:tab w:val="left" w:pos="4650"/>
        </w:tabs>
        <w:spacing w:after="0"/>
        <w:ind w:right="51"/>
        <w:jc w:val="both"/>
        <w:rPr>
          <w:rFonts w:ascii="Work Sans" w:hAnsi="Work Sans" w:cs="Arial"/>
          <w:sz w:val="24"/>
          <w:szCs w:val="24"/>
        </w:rPr>
      </w:pPr>
    </w:p>
    <w:p w:rsidR="007F1E9B" w:rsidP="007250AE" w:rsidRDefault="00957AD8" w14:paraId="6EF66F09" w14:textId="5B5392B2">
      <w:pPr>
        <w:tabs>
          <w:tab w:val="left" w:pos="4650"/>
        </w:tabs>
        <w:spacing w:after="0"/>
        <w:ind w:right="51"/>
        <w:jc w:val="both"/>
        <w:rPr>
          <w:rFonts w:ascii="Work Sans" w:hAnsi="Work Sans" w:cs="Arial"/>
          <w:sz w:val="24"/>
          <w:szCs w:val="24"/>
        </w:rPr>
      </w:pPr>
      <w:r w:rsidRPr="6B1D62BB">
        <w:rPr>
          <w:rFonts w:ascii="Work Sans" w:hAnsi="Work Sans" w:cs="Arial"/>
          <w:sz w:val="24"/>
          <w:szCs w:val="24"/>
        </w:rPr>
        <w:t xml:space="preserve">Para </w:t>
      </w:r>
      <w:r w:rsidRPr="6B1D62BB" w:rsidR="00691193">
        <w:rPr>
          <w:rFonts w:ascii="Work Sans" w:hAnsi="Work Sans" w:cs="Arial"/>
          <w:sz w:val="24"/>
          <w:szCs w:val="24"/>
        </w:rPr>
        <w:t xml:space="preserve">el </w:t>
      </w:r>
      <w:r w:rsidRPr="6B1D62BB">
        <w:rPr>
          <w:rFonts w:ascii="Work Sans" w:hAnsi="Work Sans" w:cs="Arial"/>
          <w:sz w:val="24"/>
          <w:szCs w:val="24"/>
        </w:rPr>
        <w:t>área eléctrica</w:t>
      </w:r>
      <w:r w:rsidRPr="6B1D62BB" w:rsidR="366ED128">
        <w:rPr>
          <w:rFonts w:ascii="Work Sans" w:hAnsi="Work Sans" w:cs="Arial"/>
          <w:sz w:val="24"/>
          <w:szCs w:val="24"/>
        </w:rPr>
        <w:t xml:space="preserve"> </w:t>
      </w:r>
      <w:r w:rsidRPr="6B1D62BB" w:rsidR="00564CC9">
        <w:rPr>
          <w:rFonts w:ascii="Work Sans" w:hAnsi="Work Sans" w:cs="Arial"/>
          <w:sz w:val="24"/>
          <w:szCs w:val="24"/>
        </w:rPr>
        <w:t>Caribe, se</w:t>
      </w:r>
      <w:r w:rsidRPr="6B1D62BB">
        <w:rPr>
          <w:rFonts w:ascii="Work Sans" w:hAnsi="Work Sans" w:cs="Arial"/>
          <w:sz w:val="24"/>
          <w:szCs w:val="24"/>
        </w:rPr>
        <w:t xml:space="preserve"> resalta la necesidad de nuevos proyectos que permitan </w:t>
      </w:r>
      <w:r w:rsidRPr="6B1D62BB" w:rsidR="376E6372">
        <w:rPr>
          <w:rFonts w:ascii="Work Sans" w:hAnsi="Work Sans" w:cs="Arial"/>
          <w:sz w:val="24"/>
          <w:szCs w:val="24"/>
        </w:rPr>
        <w:t>mejorar la calidad y confiabilidad del servicio eléctrico ante el creciente aumento de la demanda en esta zona</w:t>
      </w:r>
      <w:r w:rsidRPr="6B1D62BB" w:rsidR="00B008A3">
        <w:rPr>
          <w:rFonts w:ascii="Work Sans" w:hAnsi="Work Sans" w:cs="Arial"/>
          <w:sz w:val="24"/>
          <w:szCs w:val="24"/>
        </w:rPr>
        <w:t xml:space="preserve">, </w:t>
      </w:r>
      <w:r w:rsidRPr="6B1D62BB" w:rsidR="00217781">
        <w:rPr>
          <w:rFonts w:ascii="Work Sans" w:hAnsi="Work Sans" w:cs="Arial"/>
          <w:sz w:val="24"/>
          <w:szCs w:val="24"/>
        </w:rPr>
        <w:t>la baja inercia del sistema</w:t>
      </w:r>
      <w:r w:rsidRPr="6B1D62BB" w:rsidR="00CB5032">
        <w:rPr>
          <w:rFonts w:ascii="Work Sans" w:hAnsi="Work Sans" w:cs="Arial"/>
          <w:sz w:val="24"/>
          <w:szCs w:val="24"/>
        </w:rPr>
        <w:t xml:space="preserve"> y la </w:t>
      </w:r>
      <w:r w:rsidRPr="6B1D62BB" w:rsidR="00DC197C">
        <w:rPr>
          <w:rFonts w:ascii="Work Sans" w:hAnsi="Work Sans" w:cs="Arial"/>
          <w:sz w:val="24"/>
          <w:szCs w:val="24"/>
        </w:rPr>
        <w:t>progresiva</w:t>
      </w:r>
      <w:r w:rsidRPr="6B1D62BB" w:rsidR="00CB5032">
        <w:rPr>
          <w:rFonts w:ascii="Work Sans" w:hAnsi="Work Sans" w:cs="Arial"/>
          <w:sz w:val="24"/>
          <w:szCs w:val="24"/>
        </w:rPr>
        <w:t xml:space="preserve"> integración de generación FNCER basada en inversores</w:t>
      </w:r>
      <w:r w:rsidRPr="6B1D62BB" w:rsidR="00721020">
        <w:rPr>
          <w:rFonts w:ascii="Work Sans" w:hAnsi="Work Sans" w:cs="Arial"/>
          <w:sz w:val="24"/>
          <w:szCs w:val="24"/>
        </w:rPr>
        <w:t xml:space="preserve">, </w:t>
      </w:r>
      <w:r w:rsidRPr="6B1D62BB" w:rsidR="00AE7152">
        <w:rPr>
          <w:rFonts w:ascii="Work Sans" w:hAnsi="Work Sans" w:cs="Arial"/>
          <w:sz w:val="24"/>
          <w:szCs w:val="24"/>
        </w:rPr>
        <w:t xml:space="preserve">además de sus </w:t>
      </w:r>
      <w:r w:rsidRPr="6B1D62BB" w:rsidR="000C0378">
        <w:rPr>
          <w:rFonts w:ascii="Work Sans" w:hAnsi="Work Sans" w:cs="Arial"/>
          <w:sz w:val="24"/>
          <w:szCs w:val="24"/>
        </w:rPr>
        <w:t>consecuentes</w:t>
      </w:r>
      <w:r w:rsidRPr="6B1D62BB" w:rsidR="00AE7152">
        <w:rPr>
          <w:rFonts w:ascii="Work Sans" w:hAnsi="Work Sans" w:cs="Arial"/>
          <w:sz w:val="24"/>
          <w:szCs w:val="24"/>
        </w:rPr>
        <w:t xml:space="preserve"> reacciones en el sistema, como lo son </w:t>
      </w:r>
      <w:r w:rsidRPr="6B1D62BB" w:rsidR="00564CC9">
        <w:rPr>
          <w:rFonts w:ascii="Work Sans" w:hAnsi="Work Sans" w:cs="Arial"/>
          <w:sz w:val="24"/>
          <w:szCs w:val="24"/>
        </w:rPr>
        <w:t xml:space="preserve">las altas </w:t>
      </w:r>
      <w:proofErr w:type="spellStart"/>
      <w:r w:rsidRPr="6B1D62BB" w:rsidR="00564CC9">
        <w:rPr>
          <w:rFonts w:ascii="Work Sans" w:hAnsi="Work Sans" w:cs="Arial"/>
          <w:sz w:val="24"/>
          <w:szCs w:val="24"/>
        </w:rPr>
        <w:t>cargabilidades</w:t>
      </w:r>
      <w:proofErr w:type="spellEnd"/>
      <w:r w:rsidRPr="6B1D62BB" w:rsidR="00564CC9">
        <w:rPr>
          <w:rFonts w:ascii="Work Sans" w:hAnsi="Work Sans" w:cs="Arial"/>
          <w:sz w:val="24"/>
          <w:szCs w:val="24"/>
        </w:rPr>
        <w:t xml:space="preserve"> </w:t>
      </w:r>
      <w:r w:rsidRPr="6B1D62BB" w:rsidR="004D027E">
        <w:rPr>
          <w:rFonts w:ascii="Work Sans" w:hAnsi="Work Sans" w:cs="Arial"/>
          <w:sz w:val="24"/>
          <w:szCs w:val="24"/>
        </w:rPr>
        <w:t>en algunos transformadores 500/110 kV de 150 MVA de la subestación Chinú</w:t>
      </w:r>
      <w:r w:rsidRPr="6B1D62BB" w:rsidR="00AE7152">
        <w:rPr>
          <w:rFonts w:ascii="Work Sans" w:hAnsi="Work Sans" w:cs="Arial"/>
          <w:sz w:val="24"/>
          <w:szCs w:val="24"/>
        </w:rPr>
        <w:t xml:space="preserve"> y </w:t>
      </w:r>
      <w:r w:rsidRPr="6B1D62BB" w:rsidR="002063E4">
        <w:rPr>
          <w:rFonts w:ascii="Work Sans" w:hAnsi="Work Sans" w:cs="Arial"/>
          <w:sz w:val="24"/>
          <w:szCs w:val="24"/>
        </w:rPr>
        <w:t xml:space="preserve">el cumplimiento de la operación dentro de los </w:t>
      </w:r>
      <w:r w:rsidRPr="6B1D62BB" w:rsidR="000C0378">
        <w:rPr>
          <w:rFonts w:ascii="Work Sans" w:hAnsi="Work Sans" w:cs="Arial"/>
          <w:sz w:val="24"/>
          <w:szCs w:val="24"/>
        </w:rPr>
        <w:t>límites</w:t>
      </w:r>
      <w:r w:rsidRPr="6B1D62BB" w:rsidR="002063E4">
        <w:rPr>
          <w:rFonts w:ascii="Work Sans" w:hAnsi="Work Sans" w:cs="Arial"/>
          <w:sz w:val="24"/>
          <w:szCs w:val="24"/>
        </w:rPr>
        <w:t xml:space="preserve"> de regulación de los elementos del sistema</w:t>
      </w:r>
      <w:r w:rsidRPr="6B1D62BB">
        <w:rPr>
          <w:rFonts w:ascii="Work Sans" w:hAnsi="Work Sans" w:cs="Arial"/>
          <w:sz w:val="24"/>
          <w:szCs w:val="24"/>
        </w:rPr>
        <w:t>.</w:t>
      </w:r>
    </w:p>
    <w:p w:rsidR="00552043" w:rsidP="007250AE" w:rsidRDefault="00552043" w14:paraId="003FC1FA" w14:textId="77777777">
      <w:pPr>
        <w:spacing w:after="0"/>
        <w:ind w:right="51"/>
        <w:jc w:val="both"/>
        <w:rPr>
          <w:rFonts w:ascii="Work Sans" w:hAnsi="Work Sans" w:cs="Arial"/>
          <w:sz w:val="24"/>
          <w:szCs w:val="24"/>
        </w:rPr>
      </w:pPr>
    </w:p>
    <w:p w:rsidR="007A23D7" w:rsidP="007250AE" w:rsidRDefault="007A23D7" w14:paraId="638983DC" w14:textId="1A736131">
      <w:pPr>
        <w:spacing w:after="0"/>
        <w:ind w:right="51"/>
        <w:jc w:val="both"/>
        <w:rPr>
          <w:rFonts w:ascii="Work Sans" w:hAnsi="Work Sans" w:cs="Arial"/>
          <w:sz w:val="24"/>
          <w:szCs w:val="24"/>
        </w:rPr>
      </w:pPr>
      <w:r w:rsidRPr="427248B8">
        <w:rPr>
          <w:rFonts w:ascii="Work Sans" w:hAnsi="Work Sans" w:cs="Arial"/>
          <w:sz w:val="24"/>
          <w:szCs w:val="24"/>
        </w:rPr>
        <w:t xml:space="preserve">Para </w:t>
      </w:r>
      <w:r w:rsidRPr="427248B8" w:rsidR="005E2EF8">
        <w:rPr>
          <w:rFonts w:ascii="Work Sans" w:hAnsi="Work Sans" w:cs="Arial"/>
          <w:sz w:val="24"/>
          <w:szCs w:val="24"/>
        </w:rPr>
        <w:t>la subárea eléctrica</w:t>
      </w:r>
      <w:r w:rsidRPr="427248B8">
        <w:rPr>
          <w:rFonts w:ascii="Work Sans" w:hAnsi="Work Sans" w:cs="Arial"/>
          <w:sz w:val="24"/>
          <w:szCs w:val="24"/>
        </w:rPr>
        <w:t xml:space="preserve"> </w:t>
      </w:r>
      <w:r w:rsidRPr="427248B8" w:rsidR="26E76776">
        <w:rPr>
          <w:rFonts w:ascii="Work Sans" w:hAnsi="Work Sans" w:cs="Arial"/>
          <w:sz w:val="24"/>
          <w:szCs w:val="24"/>
        </w:rPr>
        <w:t>Área</w:t>
      </w:r>
      <w:r w:rsidRPr="427248B8">
        <w:rPr>
          <w:rFonts w:ascii="Work Sans" w:hAnsi="Work Sans" w:cs="Arial"/>
          <w:sz w:val="24"/>
          <w:szCs w:val="24"/>
        </w:rPr>
        <w:t xml:space="preserve"> Antioquia,</w:t>
      </w:r>
      <w:r w:rsidRPr="427248B8" w:rsidR="00A53963">
        <w:rPr>
          <w:rFonts w:ascii="Work Sans" w:hAnsi="Work Sans" w:cs="Arial"/>
          <w:sz w:val="24"/>
          <w:szCs w:val="24"/>
        </w:rPr>
        <w:t xml:space="preserve"> </w:t>
      </w:r>
      <w:r w:rsidRPr="427248B8" w:rsidR="005E2EF8">
        <w:rPr>
          <w:rFonts w:ascii="Work Sans" w:hAnsi="Work Sans" w:cs="Arial"/>
          <w:sz w:val="24"/>
          <w:szCs w:val="24"/>
        </w:rPr>
        <w:t xml:space="preserve">se han presentado problemas de altas </w:t>
      </w:r>
      <w:proofErr w:type="spellStart"/>
      <w:r w:rsidRPr="427248B8" w:rsidR="005E2EF8">
        <w:rPr>
          <w:rFonts w:ascii="Work Sans" w:hAnsi="Work Sans" w:cs="Arial"/>
          <w:sz w:val="24"/>
          <w:szCs w:val="24"/>
        </w:rPr>
        <w:t>cargabilidades</w:t>
      </w:r>
      <w:proofErr w:type="spellEnd"/>
      <w:r w:rsidRPr="427248B8" w:rsidR="005E2EF8">
        <w:rPr>
          <w:rFonts w:ascii="Work Sans" w:hAnsi="Work Sans" w:cs="Arial"/>
          <w:sz w:val="24"/>
          <w:szCs w:val="24"/>
        </w:rPr>
        <w:t xml:space="preserve"> debido a un alto crecimiento de la demanda energética en la zona oriente del departamento de Antioquia, esto como consecuencia del elevado número de solicitudes de conexión registradas en el Sistema de Distribución Local (SDL).</w:t>
      </w:r>
      <w:r w:rsidRPr="427248B8" w:rsidR="006C550B">
        <w:rPr>
          <w:rFonts w:ascii="Work Sans" w:hAnsi="Work Sans" w:cs="Arial"/>
          <w:sz w:val="24"/>
          <w:szCs w:val="24"/>
        </w:rPr>
        <w:t xml:space="preserve"> Además, </w:t>
      </w:r>
      <w:r w:rsidRPr="427248B8" w:rsidR="00E1346A">
        <w:rPr>
          <w:rFonts w:ascii="Work Sans" w:hAnsi="Work Sans" w:cs="Arial"/>
          <w:sz w:val="24"/>
          <w:szCs w:val="24"/>
        </w:rPr>
        <w:t>desde</w:t>
      </w:r>
      <w:r w:rsidRPr="427248B8" w:rsidR="006C550B">
        <w:rPr>
          <w:rFonts w:ascii="Work Sans" w:hAnsi="Work Sans" w:cs="Arial"/>
          <w:sz w:val="24"/>
          <w:szCs w:val="24"/>
        </w:rPr>
        <w:t xml:space="preserve"> 2024, XM, en su calidad de operador del Sistema Interconectado Nacional y administrador del Mercado de Energía Mayorista, ha identificado la presencia de limitaciones operativas en los transformadores de la subestación Heliconia 500/230 kV. </w:t>
      </w:r>
    </w:p>
    <w:p w:rsidR="00576516" w:rsidP="007250AE" w:rsidRDefault="00576516" w14:paraId="09FB9267" w14:textId="77777777">
      <w:pPr>
        <w:spacing w:after="0"/>
        <w:ind w:right="51"/>
        <w:jc w:val="both"/>
        <w:rPr>
          <w:rFonts w:ascii="Work Sans" w:hAnsi="Work Sans" w:cs="Arial"/>
          <w:sz w:val="24"/>
          <w:szCs w:val="24"/>
        </w:rPr>
      </w:pPr>
    </w:p>
    <w:p w:rsidR="00576516" w:rsidP="007250AE" w:rsidRDefault="00576516" w14:paraId="1EAC76EC" w14:textId="77523E95">
      <w:pPr>
        <w:spacing w:after="0"/>
        <w:ind w:right="51"/>
        <w:jc w:val="both"/>
        <w:rPr>
          <w:rFonts w:ascii="Work Sans" w:hAnsi="Work Sans" w:cs="Arial"/>
          <w:sz w:val="24"/>
          <w:szCs w:val="24"/>
        </w:rPr>
      </w:pPr>
      <w:r w:rsidRPr="6B1D62BB">
        <w:rPr>
          <w:rFonts w:ascii="Work Sans" w:hAnsi="Work Sans" w:cs="Arial"/>
          <w:sz w:val="24"/>
          <w:szCs w:val="24"/>
        </w:rPr>
        <w:t>Por otra parte, el área Antioquia–Chocó es considerada como uno de las principales regiones en cuanto a generación se refiere,</w:t>
      </w:r>
      <w:r w:rsidRPr="6B1D62BB" w:rsidR="00950D57">
        <w:rPr>
          <w:rFonts w:ascii="Work Sans" w:hAnsi="Work Sans" w:cs="Arial"/>
          <w:sz w:val="24"/>
          <w:szCs w:val="24"/>
        </w:rPr>
        <w:t xml:space="preserve"> lo que refleja</w:t>
      </w:r>
      <w:r w:rsidRPr="6B1D62BB">
        <w:rPr>
          <w:rFonts w:ascii="Work Sans" w:hAnsi="Work Sans" w:cs="Arial"/>
          <w:sz w:val="24"/>
          <w:szCs w:val="24"/>
        </w:rPr>
        <w:t xml:space="preserve"> </w:t>
      </w:r>
      <w:r w:rsidRPr="6B1D62BB" w:rsidR="00950D57">
        <w:rPr>
          <w:rFonts w:ascii="Work Sans" w:hAnsi="Work Sans" w:cs="Arial"/>
          <w:sz w:val="24"/>
          <w:szCs w:val="24"/>
        </w:rPr>
        <w:t>un</w:t>
      </w:r>
      <w:r w:rsidRPr="6B1D62BB" w:rsidR="00A6490C">
        <w:rPr>
          <w:rFonts w:ascii="Work Sans" w:hAnsi="Work Sans" w:cs="Arial"/>
          <w:sz w:val="24"/>
          <w:szCs w:val="24"/>
        </w:rPr>
        <w:t xml:space="preserve"> potencial de exportación hacia otras zonas del país, en particular hacia el área Oriental, principal centro de consumo nacional</w:t>
      </w:r>
      <w:r w:rsidRPr="6B1D62BB" w:rsidR="00950D57">
        <w:rPr>
          <w:rFonts w:ascii="Work Sans" w:hAnsi="Work Sans" w:cs="Arial"/>
          <w:sz w:val="24"/>
          <w:szCs w:val="24"/>
        </w:rPr>
        <w:t xml:space="preserve">, sin embargo, la infraestructura de transmisión del Sistema de Transmisión Nacional (STN) en el área Antioquia-Chocó opera cercana a sus límites técnicos, lo que ha </w:t>
      </w:r>
      <w:r w:rsidRPr="6B1D62BB" w:rsidR="00950D57">
        <w:rPr>
          <w:rFonts w:ascii="Work Sans" w:hAnsi="Work Sans" w:cs="Arial"/>
          <w:sz w:val="24"/>
          <w:szCs w:val="24"/>
        </w:rPr>
        <w:lastRenderedPageBreak/>
        <w:t>derivado en sobrecargas en equipos de transformación y en determinados circuitos de transmisión.</w:t>
      </w:r>
    </w:p>
    <w:p w:rsidRPr="00622DEB" w:rsidR="007A23D7" w:rsidP="007250AE" w:rsidRDefault="007A23D7" w14:paraId="36EA744F" w14:textId="77777777">
      <w:pPr>
        <w:spacing w:after="0"/>
        <w:ind w:right="51"/>
        <w:jc w:val="both"/>
        <w:rPr>
          <w:rFonts w:ascii="Work Sans" w:hAnsi="Work Sans" w:cs="Arial"/>
          <w:sz w:val="24"/>
          <w:szCs w:val="24"/>
        </w:rPr>
      </w:pPr>
    </w:p>
    <w:p w:rsidRPr="002A3D89" w:rsidR="002A3D89" w:rsidP="007250AE" w:rsidRDefault="002A3D89" w14:paraId="1D0074A7" w14:textId="77777777">
      <w:pPr>
        <w:spacing w:after="0"/>
        <w:ind w:right="51"/>
        <w:jc w:val="both"/>
        <w:rPr>
          <w:rFonts w:ascii="Work Sans" w:hAnsi="Work Sans" w:cs="Arial"/>
          <w:sz w:val="24"/>
          <w:szCs w:val="24"/>
        </w:rPr>
      </w:pPr>
      <w:r w:rsidRPr="6B1D62BB">
        <w:rPr>
          <w:rFonts w:ascii="Work Sans" w:hAnsi="Work Sans" w:cs="Arial"/>
          <w:sz w:val="24"/>
          <w:szCs w:val="24"/>
        </w:rPr>
        <w:t>En el área Oriental, una de las principales problemáticas identificadas es la insuficiencia de infraestructura de transmisión, tanto del Sistema de Transmisión Nacional (STN) como del Sistema de Transmisión Regional (STR), para garantizar el cumplimiento de los criterios de tensión en la subárea eléctrica del Meta, situación que se ha visto agravada por el crecimiento natural de la demanda.</w:t>
      </w:r>
    </w:p>
    <w:p w:rsidRPr="002A3D89" w:rsidR="002A3D89" w:rsidP="007250AE" w:rsidRDefault="002A3D89" w14:paraId="242FB26C" w14:textId="77777777">
      <w:pPr>
        <w:spacing w:after="0"/>
        <w:ind w:right="51"/>
        <w:jc w:val="both"/>
        <w:rPr>
          <w:rFonts w:ascii="Work Sans" w:hAnsi="Work Sans" w:cs="Arial"/>
          <w:sz w:val="24"/>
          <w:szCs w:val="24"/>
        </w:rPr>
      </w:pPr>
    </w:p>
    <w:p w:rsidR="00AA1D93" w:rsidP="007250AE" w:rsidRDefault="002A3D89" w14:paraId="7F1DE0D8" w14:textId="54B35FBE">
      <w:pPr>
        <w:spacing w:after="0"/>
        <w:ind w:right="51"/>
        <w:jc w:val="both"/>
        <w:rPr>
          <w:rFonts w:ascii="Work Sans" w:hAnsi="Work Sans" w:cs="Arial"/>
          <w:sz w:val="24"/>
          <w:szCs w:val="24"/>
        </w:rPr>
      </w:pPr>
      <w:r w:rsidRPr="6B1D62BB">
        <w:rPr>
          <w:rFonts w:ascii="Work Sans" w:hAnsi="Work Sans" w:cs="Arial"/>
          <w:sz w:val="24"/>
          <w:szCs w:val="24"/>
        </w:rPr>
        <w:t>Adicionalmente, de acuerdo con la información suministrada por ENEL Colombia S.A. E.S.P., la subregión de Sabana Occidente registra un número significativo de solicitudes de conexión de nuevas demandas, muchas de las cuales han sido condicionadas a la ejecución de proyectos de expansión, debido a la limitada capacidad disponible en las subestaciones existentes.</w:t>
      </w:r>
    </w:p>
    <w:p w:rsidR="00AA1D93" w:rsidP="007250AE" w:rsidRDefault="00AA1D93" w14:paraId="39347E60" w14:textId="2E9EF94F">
      <w:pPr>
        <w:spacing w:after="0"/>
        <w:ind w:right="51"/>
        <w:jc w:val="both"/>
        <w:rPr>
          <w:rFonts w:ascii="Work Sans" w:hAnsi="Work Sans" w:cs="Arial"/>
          <w:sz w:val="24"/>
          <w:szCs w:val="24"/>
        </w:rPr>
      </w:pPr>
    </w:p>
    <w:p w:rsidR="00AA1D93" w:rsidP="007250AE" w:rsidRDefault="00E86BB3" w14:paraId="22F83264" w14:textId="49668108">
      <w:pPr>
        <w:spacing w:after="0"/>
        <w:ind w:right="51"/>
        <w:jc w:val="both"/>
        <w:rPr>
          <w:rFonts w:ascii="Work Sans" w:hAnsi="Work Sans" w:cs="Arial"/>
          <w:sz w:val="24"/>
          <w:szCs w:val="24"/>
        </w:rPr>
      </w:pPr>
      <w:r w:rsidRPr="6B1D62BB">
        <w:rPr>
          <w:rFonts w:ascii="Work Sans" w:hAnsi="Work Sans" w:cs="Arial"/>
          <w:sz w:val="24"/>
          <w:szCs w:val="24"/>
        </w:rPr>
        <w:t xml:space="preserve">En el área Suroccidental, la limitada capacidad de importación de energía desde el Sistema de Transmisión Nacional (STN) constituye una de las principales causas de la alta dependencia de la generación local y de la necesidad de aplicar medidas operativas restrictivas para el control de sobrecargas y niveles de tensión. Estas restricciones se materializan especialmente en escenarios de alta demanda y ante contingencias simples, como consecuencia de la capacidad limitada de los transformadores 500/230 kV en las subestaciones San Marcos y La Virginia, </w:t>
      </w:r>
      <w:r w:rsidRPr="6B1D62BB" w:rsidR="00AA1D93">
        <w:rPr>
          <w:rFonts w:ascii="Work Sans" w:hAnsi="Work Sans" w:cs="Arial"/>
          <w:sz w:val="24"/>
          <w:szCs w:val="24"/>
        </w:rPr>
        <w:t xml:space="preserve">lo cual </w:t>
      </w:r>
      <w:r w:rsidRPr="6B1D62BB" w:rsidR="00C41325">
        <w:rPr>
          <w:rFonts w:ascii="Work Sans" w:hAnsi="Work Sans" w:cs="Arial"/>
          <w:sz w:val="24"/>
          <w:szCs w:val="24"/>
        </w:rPr>
        <w:t>afecta la robustez del sistema, reduce la eficiencia del despacho y dificulta la adecuada programación de los mantenimientos obligatorios, incrementando los riesgos operativos en la región.</w:t>
      </w:r>
    </w:p>
    <w:p w:rsidR="007250AE" w:rsidP="007250AE" w:rsidRDefault="007250AE" w14:paraId="74D5DDCD" w14:textId="77777777">
      <w:pPr>
        <w:spacing w:after="0"/>
        <w:ind w:right="51"/>
        <w:jc w:val="both"/>
        <w:rPr>
          <w:rFonts w:ascii="Work Sans" w:hAnsi="Work Sans" w:cs="Arial"/>
          <w:sz w:val="24"/>
          <w:szCs w:val="24"/>
        </w:rPr>
      </w:pPr>
    </w:p>
    <w:p w:rsidR="006C3D01" w:rsidP="007250AE" w:rsidRDefault="006C3D01" w14:paraId="705B2385" w14:textId="6B4B8F18">
      <w:pPr>
        <w:spacing w:after="0"/>
        <w:ind w:right="51"/>
        <w:jc w:val="both"/>
        <w:rPr>
          <w:rFonts w:ascii="Work Sans" w:hAnsi="Work Sans" w:cs="Arial"/>
          <w:sz w:val="24"/>
          <w:szCs w:val="24"/>
        </w:rPr>
      </w:pPr>
      <w:r w:rsidRPr="6B1D62BB">
        <w:rPr>
          <w:rFonts w:ascii="Work Sans" w:hAnsi="Work Sans" w:cs="Arial"/>
          <w:sz w:val="24"/>
          <w:szCs w:val="24"/>
        </w:rPr>
        <w:t xml:space="preserve">Finalmente, </w:t>
      </w:r>
      <w:r w:rsidRPr="6B1D62BB" w:rsidR="002A3D89">
        <w:rPr>
          <w:rFonts w:ascii="Work Sans" w:hAnsi="Work Sans" w:cs="Arial"/>
          <w:sz w:val="24"/>
          <w:szCs w:val="24"/>
        </w:rPr>
        <w:t xml:space="preserve">para </w:t>
      </w:r>
      <w:r w:rsidRPr="6B1D62BB" w:rsidR="00AA1D93">
        <w:rPr>
          <w:rFonts w:ascii="Work Sans" w:hAnsi="Work Sans" w:cs="Arial"/>
          <w:sz w:val="24"/>
          <w:szCs w:val="24"/>
        </w:rPr>
        <w:t>la subárea</w:t>
      </w:r>
      <w:r w:rsidRPr="6B1D62BB" w:rsidR="002A3D89">
        <w:rPr>
          <w:rFonts w:ascii="Work Sans" w:hAnsi="Work Sans" w:cs="Arial"/>
          <w:sz w:val="24"/>
          <w:szCs w:val="24"/>
        </w:rPr>
        <w:t xml:space="preserve"> Cauca-Nariño</w:t>
      </w:r>
      <w:r w:rsidRPr="6B1D62BB" w:rsidR="00AA1D93">
        <w:rPr>
          <w:rFonts w:ascii="Work Sans" w:hAnsi="Work Sans" w:cs="Arial"/>
          <w:sz w:val="24"/>
          <w:szCs w:val="24"/>
        </w:rPr>
        <w:t>, perteneciente al área Suroccidental</w:t>
      </w:r>
      <w:r w:rsidRPr="6B1D62BB" w:rsidR="002A3D89">
        <w:rPr>
          <w:rFonts w:ascii="Work Sans" w:hAnsi="Work Sans" w:cs="Arial"/>
          <w:sz w:val="24"/>
          <w:szCs w:val="24"/>
        </w:rPr>
        <w:t xml:space="preserve">, el operador de red Compañía Energética de Occidente – CEO ha manifestado un inminente crecimiento de la demanda en la zona suroccidental, además de restricciones de transporte de la infraestructura </w:t>
      </w:r>
      <w:r w:rsidRPr="6B1D62BB" w:rsidR="002A3D89">
        <w:rPr>
          <w:rFonts w:ascii="Work Sans" w:hAnsi="Work Sans" w:cs="Arial"/>
          <w:sz w:val="24"/>
          <w:szCs w:val="24"/>
        </w:rPr>
        <w:lastRenderedPageBreak/>
        <w:t>del STN y STR, lo que podría ocasionar posibles interrupciones en la prestación del servicio</w:t>
      </w:r>
      <w:r w:rsidRPr="6B1D62BB" w:rsidR="18760794">
        <w:rPr>
          <w:rFonts w:ascii="Work Sans" w:hAnsi="Work Sans" w:cs="Arial"/>
          <w:sz w:val="24"/>
          <w:szCs w:val="24"/>
        </w:rPr>
        <w:t>.</w:t>
      </w:r>
    </w:p>
    <w:p w:rsidR="007250AE" w:rsidP="007250AE" w:rsidRDefault="007250AE" w14:paraId="7738E086" w14:textId="77777777">
      <w:pPr>
        <w:spacing w:after="0"/>
        <w:ind w:right="51"/>
        <w:jc w:val="both"/>
        <w:rPr>
          <w:rFonts w:ascii="Work Sans" w:hAnsi="Work Sans" w:cs="Arial"/>
          <w:sz w:val="24"/>
          <w:szCs w:val="24"/>
        </w:rPr>
      </w:pPr>
    </w:p>
    <w:p w:rsidR="00500B8A" w:rsidP="007250AE" w:rsidRDefault="55186AB9" w14:paraId="64EFBE52" w14:textId="1C578979">
      <w:pPr>
        <w:tabs>
          <w:tab w:val="left" w:pos="4650"/>
        </w:tabs>
        <w:spacing w:after="0"/>
        <w:ind w:right="51"/>
        <w:jc w:val="both"/>
        <w:rPr>
          <w:rFonts w:ascii="Work Sans" w:hAnsi="Work Sans" w:cs="Arial"/>
          <w:sz w:val="24"/>
          <w:szCs w:val="24"/>
        </w:rPr>
      </w:pPr>
      <w:r w:rsidRPr="6B1D62BB">
        <w:rPr>
          <w:rFonts w:ascii="Work Sans" w:hAnsi="Work Sans" w:cs="Arial"/>
          <w:sz w:val="24"/>
          <w:szCs w:val="24"/>
        </w:rPr>
        <w:t>C</w:t>
      </w:r>
      <w:r w:rsidRPr="6B1D62BB" w:rsidR="7EDA4F6F">
        <w:rPr>
          <w:rFonts w:ascii="Work Sans" w:hAnsi="Work Sans" w:cs="Arial"/>
          <w:sz w:val="24"/>
          <w:szCs w:val="24"/>
        </w:rPr>
        <w:t xml:space="preserve">omo parte del ejercicio continuo de análisis prospectivo de la demanda energética que realiza la UPME, encargada de la planeación de la infraestructura del sistema eléctrico nacional para garantizar la seguridad y confiabilidad en el suministro de energía eléctrica del país, a través del </w:t>
      </w:r>
      <w:r w:rsidRPr="6B1D62BB" w:rsidR="7472A89D">
        <w:rPr>
          <w:rFonts w:ascii="Work Sans" w:hAnsi="Work Sans" w:cs="Arial"/>
          <w:sz w:val="24"/>
          <w:szCs w:val="24"/>
        </w:rPr>
        <w:t>Plan de Expansión de Transmisión 2</w:t>
      </w:r>
      <w:r w:rsidRPr="6B1D62BB" w:rsidR="003D3284">
        <w:rPr>
          <w:rFonts w:ascii="Work Sans" w:hAnsi="Work Sans" w:cs="Arial"/>
          <w:sz w:val="24"/>
          <w:szCs w:val="24"/>
        </w:rPr>
        <w:t>025</w:t>
      </w:r>
      <w:r w:rsidRPr="6B1D62BB" w:rsidR="21D07515">
        <w:rPr>
          <w:rFonts w:ascii="Work Sans" w:hAnsi="Work Sans" w:cs="Arial"/>
          <w:sz w:val="24"/>
          <w:szCs w:val="24"/>
        </w:rPr>
        <w:t>-</w:t>
      </w:r>
      <w:r w:rsidRPr="6B1D62BB" w:rsidR="7472A89D">
        <w:rPr>
          <w:rFonts w:ascii="Work Sans" w:hAnsi="Work Sans" w:cs="Arial"/>
          <w:sz w:val="24"/>
          <w:szCs w:val="24"/>
        </w:rPr>
        <w:t>203</w:t>
      </w:r>
      <w:r w:rsidRPr="6B1D62BB" w:rsidR="003D3284">
        <w:rPr>
          <w:rFonts w:ascii="Work Sans" w:hAnsi="Work Sans" w:cs="Arial"/>
          <w:sz w:val="24"/>
          <w:szCs w:val="24"/>
        </w:rPr>
        <w:t>9</w:t>
      </w:r>
      <w:r w:rsidRPr="6B1D62BB" w:rsidR="5ACCE1DF">
        <w:rPr>
          <w:rFonts w:ascii="Work Sans" w:hAnsi="Work Sans" w:cs="Arial"/>
          <w:sz w:val="24"/>
          <w:szCs w:val="24"/>
        </w:rPr>
        <w:t xml:space="preserve"> se</w:t>
      </w:r>
      <w:r w:rsidRPr="6B1D62BB" w:rsidR="7EDA4F6F">
        <w:rPr>
          <w:rFonts w:ascii="Work Sans" w:hAnsi="Work Sans" w:cs="Arial"/>
          <w:sz w:val="24"/>
          <w:szCs w:val="24"/>
        </w:rPr>
        <w:t xml:space="preserve"> propuso el desarrollo de </w:t>
      </w:r>
      <w:r w:rsidRPr="6B1D62BB" w:rsidR="003D3284">
        <w:rPr>
          <w:rFonts w:ascii="Work Sans" w:hAnsi="Work Sans" w:cs="Arial"/>
          <w:sz w:val="24"/>
          <w:szCs w:val="24"/>
        </w:rPr>
        <w:t>diez</w:t>
      </w:r>
      <w:r w:rsidRPr="6B1D62BB" w:rsidR="3099B7DA">
        <w:rPr>
          <w:rFonts w:ascii="Work Sans" w:hAnsi="Work Sans" w:cs="Arial"/>
          <w:sz w:val="24"/>
          <w:szCs w:val="24"/>
        </w:rPr>
        <w:t xml:space="preserve"> (</w:t>
      </w:r>
      <w:r w:rsidRPr="6B1D62BB" w:rsidR="003D3284">
        <w:rPr>
          <w:rFonts w:ascii="Work Sans" w:hAnsi="Work Sans" w:cs="Arial"/>
          <w:sz w:val="24"/>
          <w:szCs w:val="24"/>
        </w:rPr>
        <w:t>10</w:t>
      </w:r>
      <w:r w:rsidRPr="6B1D62BB" w:rsidR="3099B7DA">
        <w:rPr>
          <w:rFonts w:ascii="Work Sans" w:hAnsi="Work Sans" w:cs="Arial"/>
          <w:sz w:val="24"/>
          <w:szCs w:val="24"/>
        </w:rPr>
        <w:t xml:space="preserve">) </w:t>
      </w:r>
      <w:r w:rsidRPr="6B1D62BB" w:rsidR="7EDA4F6F">
        <w:rPr>
          <w:rFonts w:ascii="Work Sans" w:hAnsi="Work Sans" w:cs="Arial"/>
          <w:sz w:val="24"/>
          <w:szCs w:val="24"/>
        </w:rPr>
        <w:t xml:space="preserve">obras </w:t>
      </w:r>
      <w:r w:rsidRPr="6B1D62BB" w:rsidR="0BFC1554">
        <w:rPr>
          <w:rFonts w:ascii="Work Sans" w:hAnsi="Work Sans" w:cs="Arial"/>
          <w:sz w:val="24"/>
          <w:szCs w:val="24"/>
        </w:rPr>
        <w:t xml:space="preserve">que </w:t>
      </w:r>
      <w:r w:rsidRPr="6B1D62BB" w:rsidR="7EDA4F6F">
        <w:rPr>
          <w:rFonts w:ascii="Work Sans" w:hAnsi="Work Sans" w:cs="Arial"/>
          <w:sz w:val="24"/>
          <w:szCs w:val="24"/>
        </w:rPr>
        <w:t>procura</w:t>
      </w:r>
      <w:r w:rsidRPr="6B1D62BB" w:rsidR="7932B543">
        <w:rPr>
          <w:rFonts w:ascii="Work Sans" w:hAnsi="Work Sans" w:cs="Arial"/>
          <w:sz w:val="24"/>
          <w:szCs w:val="24"/>
        </w:rPr>
        <w:t>n</w:t>
      </w:r>
      <w:r w:rsidRPr="6B1D62BB" w:rsidR="7EDA4F6F">
        <w:rPr>
          <w:rFonts w:ascii="Work Sans" w:hAnsi="Work Sans" w:cs="Arial"/>
          <w:sz w:val="24"/>
          <w:szCs w:val="24"/>
        </w:rPr>
        <w:t xml:space="preserve"> atender necesidades en algunas áreas operativas que afectan directamente en la calidad, seguridad y confiabilidad del suministro de energía de dichas regiones.</w:t>
      </w:r>
    </w:p>
    <w:p w:rsidRPr="006936D0" w:rsidR="007250AE" w:rsidP="007250AE" w:rsidRDefault="007250AE" w14:paraId="1801F620" w14:textId="77777777">
      <w:pPr>
        <w:tabs>
          <w:tab w:val="left" w:pos="4650"/>
        </w:tabs>
        <w:spacing w:after="0"/>
        <w:ind w:right="51"/>
        <w:jc w:val="both"/>
        <w:rPr>
          <w:rFonts w:ascii="Work Sans" w:hAnsi="Work Sans" w:cs="Arial"/>
          <w:sz w:val="24"/>
          <w:szCs w:val="24"/>
        </w:rPr>
      </w:pPr>
    </w:p>
    <w:p w:rsidRPr="006936D0" w:rsidR="00500B8A" w:rsidP="007250AE" w:rsidRDefault="7EDA4F6F" w14:paraId="5316551E" w14:textId="3BD15BB6">
      <w:pPr>
        <w:tabs>
          <w:tab w:val="left" w:pos="4650"/>
        </w:tabs>
        <w:spacing w:after="0"/>
        <w:ind w:right="51"/>
        <w:jc w:val="both"/>
        <w:rPr>
          <w:rFonts w:ascii="Work Sans" w:hAnsi="Work Sans" w:cs="Arial"/>
          <w:sz w:val="24"/>
          <w:szCs w:val="24"/>
        </w:rPr>
      </w:pPr>
      <w:r w:rsidRPr="427248B8">
        <w:rPr>
          <w:rFonts w:ascii="Work Sans" w:hAnsi="Work Sans" w:cs="Arial"/>
          <w:sz w:val="24"/>
          <w:szCs w:val="24"/>
        </w:rPr>
        <w:t xml:space="preserve">Así las cosas, el objetivo del presente </w:t>
      </w:r>
      <w:r w:rsidRPr="427248B8" w:rsidR="06374372">
        <w:rPr>
          <w:rFonts w:ascii="Work Sans" w:hAnsi="Work Sans" w:cs="Arial"/>
          <w:sz w:val="24"/>
          <w:szCs w:val="24"/>
        </w:rPr>
        <w:t>concepto busca justificar</w:t>
      </w:r>
      <w:r w:rsidRPr="427248B8">
        <w:rPr>
          <w:rFonts w:ascii="Work Sans" w:hAnsi="Work Sans" w:cs="Arial"/>
          <w:sz w:val="24"/>
          <w:szCs w:val="24"/>
        </w:rPr>
        <w:t xml:space="preserve"> la adopción de</w:t>
      </w:r>
      <w:r w:rsidRPr="427248B8" w:rsidR="539B9CF0">
        <w:rPr>
          <w:rFonts w:ascii="Work Sans" w:hAnsi="Work Sans" w:cs="Arial"/>
          <w:sz w:val="24"/>
          <w:szCs w:val="24"/>
        </w:rPr>
        <w:t>l Plan de Expansión de Transmisión 202</w:t>
      </w:r>
      <w:r w:rsidRPr="427248B8" w:rsidR="00557692">
        <w:rPr>
          <w:rFonts w:ascii="Work Sans" w:hAnsi="Work Sans" w:cs="Arial"/>
          <w:sz w:val="24"/>
          <w:szCs w:val="24"/>
        </w:rPr>
        <w:t>5</w:t>
      </w:r>
      <w:r w:rsidRPr="427248B8" w:rsidR="21D07515">
        <w:rPr>
          <w:rFonts w:ascii="Work Sans" w:hAnsi="Work Sans" w:cs="Arial"/>
          <w:sz w:val="24"/>
          <w:szCs w:val="24"/>
        </w:rPr>
        <w:t>-</w:t>
      </w:r>
      <w:r w:rsidRPr="427248B8" w:rsidR="539B9CF0">
        <w:rPr>
          <w:rFonts w:ascii="Work Sans" w:hAnsi="Work Sans" w:cs="Arial"/>
          <w:sz w:val="24"/>
          <w:szCs w:val="24"/>
        </w:rPr>
        <w:t>203</w:t>
      </w:r>
      <w:r w:rsidRPr="427248B8" w:rsidR="00557692">
        <w:rPr>
          <w:rFonts w:ascii="Work Sans" w:hAnsi="Work Sans" w:cs="Arial"/>
          <w:sz w:val="24"/>
          <w:szCs w:val="24"/>
        </w:rPr>
        <w:t>9</w:t>
      </w:r>
      <w:r w:rsidRPr="427248B8">
        <w:rPr>
          <w:rFonts w:ascii="Work Sans" w:hAnsi="Work Sans" w:cs="Arial"/>
          <w:sz w:val="24"/>
          <w:szCs w:val="24"/>
        </w:rPr>
        <w:t>, que comprende</w:t>
      </w:r>
      <w:r w:rsidRPr="427248B8" w:rsidR="006F2F24">
        <w:rPr>
          <w:rFonts w:ascii="Work Sans" w:hAnsi="Work Sans" w:cs="Arial"/>
          <w:sz w:val="24"/>
          <w:szCs w:val="24"/>
        </w:rPr>
        <w:t xml:space="preserve"> obras de expansión, en las áreas Caribe, Antioquia-Chocó, Oriental y Suroccidental</w:t>
      </w:r>
      <w:r w:rsidRPr="427248B8" w:rsidR="009A414F">
        <w:rPr>
          <w:rFonts w:ascii="Work Sans" w:hAnsi="Work Sans" w:cs="Arial"/>
          <w:sz w:val="24"/>
          <w:szCs w:val="24"/>
        </w:rPr>
        <w:t xml:space="preserve"> </w:t>
      </w:r>
      <w:r w:rsidRPr="427248B8" w:rsidR="7F0ECC73">
        <w:rPr>
          <w:rFonts w:ascii="Work Sans" w:hAnsi="Work Sans" w:cs="Arial"/>
          <w:sz w:val="24"/>
          <w:szCs w:val="24"/>
        </w:rPr>
        <w:t>orientadas a atender el crecimiento de la demanda.</w:t>
      </w:r>
    </w:p>
    <w:p w:rsidRPr="006936D0" w:rsidR="12036FF2" w:rsidP="007250AE" w:rsidRDefault="12036FF2" w14:paraId="0CD3E40C" w14:textId="50553264">
      <w:pPr>
        <w:tabs>
          <w:tab w:val="left" w:pos="4650"/>
        </w:tabs>
        <w:spacing w:after="0"/>
        <w:ind w:right="51"/>
        <w:contextualSpacing/>
        <w:jc w:val="both"/>
        <w:rPr>
          <w:rFonts w:ascii="Work Sans" w:hAnsi="Work Sans" w:cs="Arial"/>
          <w:sz w:val="24"/>
          <w:szCs w:val="24"/>
        </w:rPr>
      </w:pPr>
    </w:p>
    <w:p w:rsidRPr="006936D0" w:rsidR="00500B8A" w:rsidP="007250AE" w:rsidRDefault="00500B8A" w14:paraId="1ACC4CB2" w14:textId="77777777">
      <w:pPr>
        <w:tabs>
          <w:tab w:val="left" w:pos="4650"/>
        </w:tabs>
        <w:spacing w:after="0"/>
        <w:ind w:right="51"/>
        <w:contextualSpacing/>
        <w:jc w:val="both"/>
        <w:rPr>
          <w:rFonts w:ascii="Work Sans" w:hAnsi="Work Sans" w:cs="Arial"/>
          <w:b/>
          <w:bCs/>
          <w:sz w:val="24"/>
          <w:szCs w:val="24"/>
        </w:rPr>
      </w:pPr>
      <w:r w:rsidRPr="006936D0">
        <w:rPr>
          <w:rFonts w:ascii="Work Sans" w:hAnsi="Work Sans" w:cs="Arial"/>
          <w:b/>
          <w:bCs/>
          <w:sz w:val="24"/>
          <w:szCs w:val="24"/>
        </w:rPr>
        <w:t>2. Propósito que se requiere materializar en la norma</w:t>
      </w:r>
    </w:p>
    <w:p w:rsidRPr="006936D0" w:rsidR="00500B8A" w:rsidP="007250AE" w:rsidRDefault="00500B8A" w14:paraId="2AA7189D" w14:textId="77777777">
      <w:pPr>
        <w:tabs>
          <w:tab w:val="left" w:pos="4650"/>
        </w:tabs>
        <w:spacing w:after="0"/>
        <w:ind w:right="51"/>
        <w:contextualSpacing/>
        <w:jc w:val="both"/>
        <w:rPr>
          <w:rFonts w:ascii="Work Sans" w:hAnsi="Work Sans" w:cs="Arial"/>
          <w:sz w:val="24"/>
          <w:szCs w:val="24"/>
        </w:rPr>
      </w:pPr>
    </w:p>
    <w:p w:rsidRPr="006936D0" w:rsidR="00957AD8" w:rsidP="007250AE" w:rsidRDefault="7EDA4F6F" w14:paraId="158C2E98" w14:textId="1AD35C6A">
      <w:pPr>
        <w:tabs>
          <w:tab w:val="left" w:pos="4650"/>
        </w:tabs>
        <w:spacing w:after="0"/>
        <w:ind w:right="51"/>
        <w:contextualSpacing/>
        <w:jc w:val="both"/>
        <w:rPr>
          <w:rFonts w:ascii="Work Sans" w:hAnsi="Work Sans" w:cs="Arial"/>
          <w:i/>
          <w:iCs/>
          <w:sz w:val="24"/>
          <w:szCs w:val="24"/>
        </w:rPr>
      </w:pPr>
      <w:r w:rsidRPr="006936D0">
        <w:rPr>
          <w:rFonts w:ascii="Work Sans" w:hAnsi="Work Sans" w:cs="Arial"/>
          <w:sz w:val="24"/>
          <w:szCs w:val="24"/>
        </w:rPr>
        <w:t>Teniendo en cuenta la necesidad de desarrollar las obras para atender necesidades en algunas áreas operativas (</w:t>
      </w:r>
      <w:r w:rsidRPr="0028669B" w:rsidR="0028669B">
        <w:rPr>
          <w:rFonts w:ascii="Work Sans" w:hAnsi="Work Sans" w:cs="Arial"/>
          <w:sz w:val="24"/>
          <w:szCs w:val="24"/>
        </w:rPr>
        <w:t>Caribe, Antioquia-Chocó, Oriental y Suroccidental</w:t>
      </w:r>
      <w:r w:rsidRPr="006936D0">
        <w:rPr>
          <w:rFonts w:ascii="Work Sans" w:hAnsi="Work Sans" w:cs="Arial"/>
          <w:sz w:val="24"/>
          <w:szCs w:val="24"/>
        </w:rPr>
        <w:t xml:space="preserve">) que afectan directamente en la calidad, seguridad y confiabilidad del suministro de energía de dichas regiones, acogiendo las recomendaciones del Comité Asesor de Planeamiento de la Transmisión </w:t>
      </w:r>
      <w:r w:rsidRPr="006936D0" w:rsidR="7CB0A021">
        <w:rPr>
          <w:rFonts w:ascii="Work Sans" w:hAnsi="Work Sans" w:cs="Arial"/>
          <w:sz w:val="24"/>
          <w:szCs w:val="24"/>
        </w:rPr>
        <w:t xml:space="preserve"> (</w:t>
      </w:r>
      <w:r w:rsidRPr="006936D0">
        <w:rPr>
          <w:rFonts w:ascii="Work Sans" w:hAnsi="Work Sans" w:cs="Arial"/>
          <w:sz w:val="24"/>
          <w:szCs w:val="24"/>
        </w:rPr>
        <w:t>CAPT</w:t>
      </w:r>
      <w:r w:rsidRPr="006936D0" w:rsidR="7B80B575">
        <w:rPr>
          <w:rFonts w:ascii="Work Sans" w:hAnsi="Work Sans" w:cs="Arial"/>
          <w:sz w:val="24"/>
          <w:szCs w:val="24"/>
        </w:rPr>
        <w:t xml:space="preserve"> – Acta</w:t>
      </w:r>
      <w:r w:rsidR="00537EAB">
        <w:rPr>
          <w:rFonts w:ascii="Work Sans" w:hAnsi="Work Sans" w:cs="Arial"/>
          <w:sz w:val="24"/>
          <w:szCs w:val="24"/>
        </w:rPr>
        <w:t>s</w:t>
      </w:r>
      <w:r w:rsidRPr="006936D0" w:rsidR="7B80B575">
        <w:rPr>
          <w:rFonts w:ascii="Work Sans" w:hAnsi="Work Sans" w:cs="Arial"/>
          <w:sz w:val="24"/>
          <w:szCs w:val="24"/>
        </w:rPr>
        <w:t xml:space="preserve"> 21</w:t>
      </w:r>
      <w:r w:rsidR="00537EAB">
        <w:rPr>
          <w:rFonts w:ascii="Work Sans" w:hAnsi="Work Sans" w:cs="Arial"/>
          <w:sz w:val="24"/>
          <w:szCs w:val="24"/>
        </w:rPr>
        <w:t>2, 213, 214 y 215</w:t>
      </w:r>
      <w:r w:rsidRPr="006936D0" w:rsidR="0169BF08">
        <w:rPr>
          <w:rFonts w:ascii="Work Sans" w:hAnsi="Work Sans" w:cs="Arial"/>
          <w:sz w:val="24"/>
          <w:szCs w:val="24"/>
        </w:rPr>
        <w:t>)</w:t>
      </w:r>
      <w:r w:rsidRPr="006936D0" w:rsidR="141BA532">
        <w:rPr>
          <w:rFonts w:ascii="Work Sans" w:hAnsi="Work Sans" w:cs="Arial"/>
          <w:sz w:val="24"/>
          <w:szCs w:val="24"/>
        </w:rPr>
        <w:t xml:space="preserve"> </w:t>
      </w:r>
      <w:r w:rsidRPr="006936D0">
        <w:rPr>
          <w:rFonts w:ascii="Work Sans" w:hAnsi="Work Sans" w:cs="Arial"/>
          <w:sz w:val="24"/>
          <w:szCs w:val="24"/>
        </w:rPr>
        <w:t>y</w:t>
      </w:r>
      <w:r w:rsidRPr="006936D0" w:rsidR="12B29E0F">
        <w:rPr>
          <w:rFonts w:ascii="Work Sans" w:hAnsi="Work Sans" w:cs="Arial"/>
          <w:sz w:val="24"/>
          <w:szCs w:val="24"/>
        </w:rPr>
        <w:t>,</w:t>
      </w:r>
      <w:r w:rsidRPr="006936D0">
        <w:rPr>
          <w:rFonts w:ascii="Work Sans" w:hAnsi="Work Sans" w:cs="Arial"/>
          <w:sz w:val="24"/>
          <w:szCs w:val="24"/>
        </w:rPr>
        <w:t xml:space="preserve"> atendiendo la solicitud y recomendaciones técnicas de la UPME, a través del presente</w:t>
      </w:r>
      <w:r w:rsidRPr="006936D0" w:rsidR="50BED386">
        <w:rPr>
          <w:rFonts w:ascii="Work Sans" w:hAnsi="Work Sans" w:cs="Arial"/>
          <w:sz w:val="24"/>
          <w:szCs w:val="24"/>
        </w:rPr>
        <w:t xml:space="preserve"> concepto</w:t>
      </w:r>
      <w:r w:rsidRPr="006936D0" w:rsidR="2A97A367">
        <w:rPr>
          <w:rFonts w:ascii="Work Sans" w:hAnsi="Work Sans" w:cs="Arial"/>
          <w:sz w:val="24"/>
          <w:szCs w:val="24"/>
        </w:rPr>
        <w:t xml:space="preserve"> se busca la justificación para </w:t>
      </w:r>
      <w:r w:rsidRPr="006936D0" w:rsidR="763F9EF8">
        <w:rPr>
          <w:rFonts w:ascii="Work Sans" w:hAnsi="Work Sans" w:cs="Arial"/>
          <w:sz w:val="24"/>
          <w:szCs w:val="24"/>
        </w:rPr>
        <w:t>la adopción</w:t>
      </w:r>
      <w:r w:rsidRPr="006936D0" w:rsidR="2A97A367">
        <w:rPr>
          <w:rFonts w:ascii="Work Sans" w:hAnsi="Work Sans" w:cs="Arial"/>
          <w:sz w:val="24"/>
          <w:szCs w:val="24"/>
        </w:rPr>
        <w:t xml:space="preserve"> del </w:t>
      </w:r>
      <w:r w:rsidRPr="006936D0">
        <w:rPr>
          <w:rFonts w:ascii="Work Sans" w:hAnsi="Work Sans" w:cs="Arial"/>
          <w:sz w:val="24"/>
          <w:szCs w:val="24"/>
        </w:rPr>
        <w:t xml:space="preserve"> Plan de Expansión de Transmisión 202</w:t>
      </w:r>
      <w:r w:rsidR="00537EAB">
        <w:rPr>
          <w:rFonts w:ascii="Work Sans" w:hAnsi="Work Sans" w:cs="Arial"/>
          <w:sz w:val="24"/>
          <w:szCs w:val="24"/>
        </w:rPr>
        <w:t>5</w:t>
      </w:r>
      <w:r w:rsidRPr="006936D0" w:rsidR="21D07515">
        <w:rPr>
          <w:rFonts w:ascii="Work Sans" w:hAnsi="Work Sans" w:cs="Arial"/>
          <w:sz w:val="24"/>
          <w:szCs w:val="24"/>
        </w:rPr>
        <w:t>-</w:t>
      </w:r>
      <w:r w:rsidRPr="006936D0">
        <w:rPr>
          <w:rFonts w:ascii="Work Sans" w:hAnsi="Work Sans" w:cs="Arial"/>
          <w:sz w:val="24"/>
          <w:szCs w:val="24"/>
        </w:rPr>
        <w:t>203</w:t>
      </w:r>
      <w:r w:rsidR="00537EAB">
        <w:rPr>
          <w:rFonts w:ascii="Work Sans" w:hAnsi="Work Sans" w:cs="Arial"/>
          <w:sz w:val="24"/>
          <w:szCs w:val="24"/>
        </w:rPr>
        <w:t>9</w:t>
      </w:r>
      <w:r w:rsidRPr="006936D0">
        <w:rPr>
          <w:rFonts w:ascii="Work Sans" w:hAnsi="Work Sans" w:cs="Arial"/>
          <w:sz w:val="24"/>
          <w:szCs w:val="24"/>
        </w:rPr>
        <w:t xml:space="preserve">, dando cumplimiento a lo dispuesto en el numeral 8° del artículo 5° del Decreto 381 de 2012, el cual indica que corresponde al Despacho del Ministro de Minas y Energía </w:t>
      </w:r>
      <w:r w:rsidRPr="006936D0">
        <w:rPr>
          <w:rFonts w:ascii="Work Sans" w:hAnsi="Work Sans" w:cs="Arial"/>
          <w:i/>
          <w:iCs/>
          <w:sz w:val="24"/>
          <w:szCs w:val="24"/>
        </w:rPr>
        <w:t>“Adoptar los planes de generación de expansión de generación y de la red de interconexión y establecer los criterios para el planeamiento de la transmisión y distribución”.</w:t>
      </w:r>
    </w:p>
    <w:p w:rsidR="00957AD8" w:rsidP="718D9970" w:rsidRDefault="00957AD8" w14:paraId="3DE44779" w14:textId="77777777">
      <w:pPr>
        <w:tabs>
          <w:tab w:val="left" w:pos="4650"/>
        </w:tabs>
        <w:spacing w:after="0"/>
        <w:ind w:right="51"/>
        <w:contextualSpacing/>
        <w:jc w:val="both"/>
        <w:rPr>
          <w:rFonts w:ascii="Work Sans" w:hAnsi="Work Sans" w:cs="Arial"/>
          <w:sz w:val="24"/>
          <w:szCs w:val="24"/>
        </w:rPr>
      </w:pPr>
    </w:p>
    <w:p w:rsidRPr="001403AB" w:rsidR="001403AB" w:rsidP="718D9970" w:rsidRDefault="003047DB" w14:paraId="573D71BD" w14:textId="5668AA7E">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lastRenderedPageBreak/>
        <w:t>Ahora bien</w:t>
      </w:r>
      <w:r w:rsidRPr="718D9970" w:rsidR="161A4EA9">
        <w:rPr>
          <w:rFonts w:ascii="Work Sans" w:hAnsi="Work Sans" w:cs="Arial"/>
          <w:sz w:val="24"/>
          <w:szCs w:val="24"/>
        </w:rPr>
        <w:t xml:space="preserve">, teniendo en cuenta que </w:t>
      </w:r>
      <w:r w:rsidRPr="718D9970" w:rsidR="001403AB">
        <w:rPr>
          <w:rFonts w:ascii="Work Sans" w:hAnsi="Work Sans" w:cs="Arial"/>
          <w:sz w:val="24"/>
          <w:szCs w:val="24"/>
        </w:rPr>
        <w:t>el Ministerio de Minas y Energía mediante la Resolución 40004 del 7 de enero de 2026, identificó y definió como Proyectos Urgentes en los términos del artículo 2 de la Resolución MME 90604 de 2014, entre otras, las siguientes obras del Sistema de Transmisión Nacional – STN y del Sistema de Transmisión Regional – STR, que la UPME priorizó previamente en el Plan de Expansión de Transmisión 2025–2039: </w:t>
      </w:r>
    </w:p>
    <w:p w:rsidRPr="001403AB" w:rsidR="00C255FF" w:rsidP="718D9970" w:rsidRDefault="00C255FF" w14:paraId="1B76EAD9" w14:textId="1884FC2C">
      <w:pPr>
        <w:tabs>
          <w:tab w:val="left" w:pos="4650"/>
        </w:tabs>
        <w:spacing w:after="0"/>
        <w:ind w:right="51"/>
        <w:contextualSpacing/>
        <w:jc w:val="both"/>
        <w:rPr>
          <w:rFonts w:ascii="Work Sans" w:hAnsi="Work Sans" w:cs="Arial"/>
          <w:sz w:val="24"/>
          <w:szCs w:val="24"/>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30"/>
        <w:gridCol w:w="1560"/>
        <w:gridCol w:w="2385"/>
      </w:tblGrid>
      <w:tr w:rsidRPr="001403AB" w:rsidR="001403AB" w:rsidTr="718D9970" w14:paraId="574D3E08"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3F36A175" w14:textId="120AF9AF">
            <w:pPr>
              <w:tabs>
                <w:tab w:val="left" w:pos="4650"/>
              </w:tabs>
              <w:spacing w:after="0"/>
              <w:ind w:right="51"/>
              <w:contextualSpacing/>
              <w:jc w:val="center"/>
              <w:rPr>
                <w:rFonts w:ascii="Work Sans" w:hAnsi="Work Sans" w:cs="Arial"/>
                <w:sz w:val="24"/>
                <w:szCs w:val="24"/>
              </w:rPr>
            </w:pPr>
            <w:r w:rsidRPr="718D9970">
              <w:rPr>
                <w:rFonts w:ascii="Work Sans" w:hAnsi="Work Sans" w:cs="Arial"/>
                <w:b/>
                <w:bCs/>
                <w:sz w:val="24"/>
                <w:szCs w:val="24"/>
              </w:rPr>
              <w:t>Proyectos STN</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DDCE6D6" w14:textId="4A1959F5">
            <w:pPr>
              <w:tabs>
                <w:tab w:val="left" w:pos="4650"/>
              </w:tabs>
              <w:spacing w:after="0"/>
              <w:ind w:right="51"/>
              <w:contextualSpacing/>
              <w:jc w:val="center"/>
              <w:rPr>
                <w:rFonts w:ascii="Work Sans" w:hAnsi="Work Sans" w:cs="Arial"/>
                <w:sz w:val="24"/>
                <w:szCs w:val="24"/>
              </w:rPr>
            </w:pPr>
            <w:r w:rsidRPr="718D9970">
              <w:rPr>
                <w:rFonts w:ascii="Work Sans" w:hAnsi="Work Sans" w:cs="Arial"/>
                <w:b/>
                <w:bCs/>
                <w:sz w:val="24"/>
                <w:szCs w:val="24"/>
              </w:rPr>
              <w:t>Área</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0E9077B6" w14:textId="499CEC5D">
            <w:pPr>
              <w:tabs>
                <w:tab w:val="left" w:pos="4650"/>
              </w:tabs>
              <w:spacing w:after="0"/>
              <w:ind w:right="51"/>
              <w:contextualSpacing/>
              <w:jc w:val="center"/>
              <w:rPr>
                <w:rFonts w:ascii="Work Sans" w:hAnsi="Work Sans" w:cs="Arial"/>
                <w:sz w:val="24"/>
                <w:szCs w:val="24"/>
              </w:rPr>
            </w:pPr>
            <w:r w:rsidRPr="718D9970">
              <w:rPr>
                <w:rFonts w:ascii="Work Sans" w:hAnsi="Work Sans" w:cs="Arial"/>
                <w:b/>
                <w:bCs/>
                <w:sz w:val="24"/>
                <w:szCs w:val="24"/>
              </w:rPr>
              <w:t>FPO</w:t>
            </w:r>
          </w:p>
        </w:tc>
      </w:tr>
      <w:tr w:rsidRPr="001403AB" w:rsidR="001403AB" w:rsidTr="718D9970" w14:paraId="58AF6749"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4951AC98"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300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Cuestecitas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D572E71" w14:textId="46D79A0A">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49D7C1D" w14:textId="480AE8C1">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BD682D3"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5C1A3402"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Nueva Barranquilla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44A1E6B" w14:textId="6590216F">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Atlántico</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A7DEC13" w14:textId="655F79B0">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814A0B5"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5F659E09"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300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Colectora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86CA0C0" w14:textId="1ACC3107">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A5FCBA7" w14:textId="5311CD3B">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70A54BBB"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3A660DD4"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Sabanalarga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82D6231" w14:textId="6CFB3E6D">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Atlántico</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001CEC63" w14:textId="7D96CE4F">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76688CF4"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105746DD"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300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Carreto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F464CCB" w14:textId="1D75B080">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Bolívar</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46FD1702" w14:textId="4700E575">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36742119"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23F455B1"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Chinú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6F883440" w14:textId="086F93DF">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Córdoba-Sucre</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74969FE" w14:textId="3B8887BC">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81338EF"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20267E2C"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Toluviejo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FC31966" w14:textId="7FCC1A33">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Córdoba-Sucre</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AB25FD4" w14:textId="54160DBD">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38417D58"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047BF87A"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Caracolí 110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2F81705" w14:textId="6D19E532">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Atlántico</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297E539" w14:textId="157AB1B1">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B9AFDD0"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4372774E"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w:t>
            </w:r>
            <w:proofErr w:type="spellStart"/>
            <w:r w:rsidRPr="718D9970">
              <w:rPr>
                <w:rFonts w:ascii="Work Sans" w:hAnsi="Work Sans" w:cs="Arial"/>
                <w:sz w:val="24"/>
                <w:szCs w:val="24"/>
              </w:rPr>
              <w:t>Tebsa</w:t>
            </w:r>
            <w:proofErr w:type="spellEnd"/>
            <w:r w:rsidRPr="718D9970">
              <w:rPr>
                <w:rFonts w:ascii="Work Sans" w:hAnsi="Work Sans" w:cs="Arial"/>
                <w:sz w:val="24"/>
                <w:szCs w:val="24"/>
              </w:rPr>
              <w:t>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1957B91D" w14:textId="1EFF96F7">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Atlántico</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56555D7" w14:textId="4E4F3608">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59F3C083"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7407CCD5"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Malambo 110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6A49F107" w14:textId="4FD8A281">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Atlántico</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31B077E1" w14:textId="44DF0149">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39066D1E"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772D5042"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300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Bolívar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06CD8AF" w14:textId="3A411FDE">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Bolívar</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0AC169D9" w14:textId="6F705306">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6E02C80D"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4694F615"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300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Sahagún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BB169D4" w14:textId="432E030B">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Córdoba-Sucre</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4035E0ED" w14:textId="57378C32">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E17CC36"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7BC18066"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lastRenderedPageBreak/>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Copey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4967B5A0" w14:textId="090A33C8">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AAF9C9C" w14:textId="67713C6C">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2EEEA22"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62020EA7"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300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Cuestecitas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03F9111C" w14:textId="7E27E0FC">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05121CFE" w14:textId="5AEF1703">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2EBD31D9"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4298D41F"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Compensador síncrono de 150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Valledupar 220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7C0E84D2" w14:textId="2152A47C">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40A6B24" w14:textId="7A7CED14">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7DC310B4"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2B2E2FA5"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Reactor de barra de 120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Cuestecitas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5E6904E" w14:textId="25A015C6">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193ABF21" w14:textId="09700A00">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1072A371"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3F64C0AD"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Reactor de barra de 120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Colectora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17408D48" w14:textId="2A3C56E7">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GCM</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278D43B" w14:textId="67DE9888">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r w:rsidRPr="001403AB" w:rsidR="001403AB" w:rsidTr="718D9970" w14:paraId="67213D06"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18F4EEE2"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Reactor de línea Magangué — Copey 500 kV de 84 </w:t>
            </w:r>
            <w:proofErr w:type="spellStart"/>
            <w:r w:rsidRPr="718D9970">
              <w:rPr>
                <w:rFonts w:ascii="Work Sans" w:hAnsi="Work Sans" w:cs="Arial"/>
                <w:sz w:val="24"/>
                <w:szCs w:val="24"/>
              </w:rPr>
              <w:t>MVAr</w:t>
            </w:r>
            <w:proofErr w:type="spellEnd"/>
            <w:r w:rsidRPr="718D9970">
              <w:rPr>
                <w:rFonts w:ascii="Work Sans" w:hAnsi="Work Sans" w:cs="Arial"/>
                <w:sz w:val="24"/>
                <w:szCs w:val="24"/>
              </w:rPr>
              <w:t> en Magangué 500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077D1CDC" w14:textId="618E9795">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Córdoba-Sucre</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65C8E5B5" w14:textId="365A2AD6">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2029</w:t>
            </w:r>
          </w:p>
        </w:tc>
      </w:tr>
    </w:tbl>
    <w:p w:rsidRPr="001403AB" w:rsidR="001403AB" w:rsidP="718D9970" w:rsidRDefault="001403AB" w14:paraId="012EFB15"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30"/>
        <w:gridCol w:w="1560"/>
        <w:gridCol w:w="2385"/>
      </w:tblGrid>
      <w:tr w:rsidRPr="001403AB" w:rsidR="001403AB" w:rsidTr="718D9970" w14:paraId="51A573DA" w14:textId="77777777">
        <w:trPr>
          <w:trHeight w:val="300"/>
        </w:trPr>
        <w:tc>
          <w:tcPr>
            <w:tcW w:w="4530" w:type="dxa"/>
            <w:tcBorders>
              <w:top w:val="single" w:color="auto" w:sz="6" w:space="0"/>
              <w:left w:val="single" w:color="auto" w:sz="6" w:space="0"/>
              <w:bottom w:val="single" w:color="auto" w:sz="6" w:space="0"/>
              <w:right w:val="single" w:color="auto" w:sz="6" w:space="0"/>
            </w:tcBorders>
            <w:hideMark/>
          </w:tcPr>
          <w:p w:rsidRPr="001403AB" w:rsidR="001403AB" w:rsidP="718D9970" w:rsidRDefault="001403AB" w14:paraId="0262F753" w14:textId="3725F350">
            <w:pPr>
              <w:tabs>
                <w:tab w:val="left" w:pos="4650"/>
              </w:tabs>
              <w:spacing w:after="0"/>
              <w:ind w:right="51"/>
              <w:contextualSpacing/>
              <w:jc w:val="center"/>
              <w:rPr>
                <w:rFonts w:ascii="Work Sans" w:hAnsi="Work Sans" w:cs="Arial"/>
                <w:sz w:val="24"/>
                <w:szCs w:val="24"/>
              </w:rPr>
            </w:pPr>
            <w:r w:rsidRPr="718D9970">
              <w:rPr>
                <w:rFonts w:ascii="Work Sans" w:hAnsi="Work Sans" w:cs="Arial"/>
                <w:b/>
                <w:bCs/>
                <w:sz w:val="24"/>
                <w:szCs w:val="24"/>
              </w:rPr>
              <w:t>Proyectos STR</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9B6E274" w14:textId="45F41283">
            <w:pPr>
              <w:tabs>
                <w:tab w:val="left" w:pos="4650"/>
              </w:tabs>
              <w:spacing w:after="0"/>
              <w:ind w:right="51"/>
              <w:contextualSpacing/>
              <w:jc w:val="center"/>
              <w:rPr>
                <w:rFonts w:ascii="Work Sans" w:hAnsi="Work Sans" w:cs="Arial"/>
                <w:sz w:val="24"/>
                <w:szCs w:val="24"/>
              </w:rPr>
            </w:pPr>
            <w:r w:rsidRPr="718D9970">
              <w:rPr>
                <w:rFonts w:ascii="Work Sans" w:hAnsi="Work Sans" w:cs="Arial"/>
                <w:b/>
                <w:bCs/>
                <w:sz w:val="24"/>
                <w:szCs w:val="24"/>
              </w:rPr>
              <w:t>Área</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681A3D10" w14:textId="3F770C3F">
            <w:pPr>
              <w:tabs>
                <w:tab w:val="left" w:pos="4650"/>
              </w:tabs>
              <w:spacing w:after="0"/>
              <w:ind w:right="51"/>
              <w:contextualSpacing/>
              <w:jc w:val="center"/>
              <w:rPr>
                <w:rFonts w:ascii="Work Sans" w:hAnsi="Work Sans" w:cs="Arial"/>
                <w:sz w:val="24"/>
                <w:szCs w:val="24"/>
              </w:rPr>
            </w:pPr>
            <w:r w:rsidRPr="718D9970">
              <w:rPr>
                <w:rFonts w:ascii="Work Sans" w:hAnsi="Work Sans" w:cs="Arial"/>
                <w:b/>
                <w:bCs/>
                <w:sz w:val="24"/>
                <w:szCs w:val="24"/>
              </w:rPr>
              <w:t>FPO</w:t>
            </w:r>
          </w:p>
        </w:tc>
      </w:tr>
      <w:tr w:rsidRPr="001403AB" w:rsidR="001403AB" w:rsidTr="718D9970" w14:paraId="066DDDCF" w14:textId="77777777">
        <w:trPr>
          <w:trHeight w:val="300"/>
        </w:trPr>
        <w:tc>
          <w:tcPr>
            <w:tcW w:w="453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535A5D0B" w14:textId="77777777">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TRF 4 Chinú 500/110 kV </w:t>
            </w:r>
          </w:p>
        </w:tc>
        <w:tc>
          <w:tcPr>
            <w:tcW w:w="1560"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4CB04995" w14:textId="0DCA0FF5">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Córdoba-Sucre</w:t>
            </w:r>
          </w:p>
        </w:tc>
        <w:tc>
          <w:tcPr>
            <w:tcW w:w="2385" w:type="dxa"/>
            <w:tcBorders>
              <w:top w:val="single" w:color="auto" w:sz="6" w:space="0"/>
              <w:left w:val="single" w:color="auto" w:sz="6" w:space="0"/>
              <w:bottom w:val="single" w:color="auto" w:sz="6" w:space="0"/>
              <w:right w:val="single" w:color="auto" w:sz="6" w:space="0"/>
            </w:tcBorders>
            <w:vAlign w:val="center"/>
            <w:hideMark/>
          </w:tcPr>
          <w:p w:rsidRPr="001403AB" w:rsidR="001403AB" w:rsidP="718D9970" w:rsidRDefault="001403AB" w14:paraId="2203CA1F" w14:textId="1BD2E859">
            <w:pPr>
              <w:tabs>
                <w:tab w:val="left" w:pos="4650"/>
              </w:tabs>
              <w:spacing w:after="0"/>
              <w:ind w:right="51"/>
              <w:contextualSpacing/>
              <w:jc w:val="center"/>
              <w:rPr>
                <w:rFonts w:ascii="Work Sans" w:hAnsi="Work Sans" w:cs="Arial"/>
                <w:sz w:val="24"/>
                <w:szCs w:val="24"/>
              </w:rPr>
            </w:pPr>
            <w:r w:rsidRPr="718D9970">
              <w:rPr>
                <w:rFonts w:ascii="Work Sans" w:hAnsi="Work Sans" w:cs="Arial"/>
                <w:sz w:val="24"/>
                <w:szCs w:val="24"/>
              </w:rPr>
              <w:t>Dic 2028</w:t>
            </w:r>
          </w:p>
        </w:tc>
      </w:tr>
    </w:tbl>
    <w:p w:rsidRPr="001403AB" w:rsidR="001403AB" w:rsidP="718D9970" w:rsidRDefault="001403AB" w14:paraId="3FE2F9CF" w14:textId="4EEAAE93">
      <w:pPr>
        <w:tabs>
          <w:tab w:val="left" w:pos="4650"/>
        </w:tabs>
        <w:spacing w:after="0"/>
        <w:ind w:right="51"/>
        <w:contextualSpacing/>
        <w:jc w:val="both"/>
        <w:rPr>
          <w:rFonts w:ascii="Work Sans" w:hAnsi="Work Sans" w:cs="Arial"/>
          <w:sz w:val="24"/>
          <w:szCs w:val="24"/>
        </w:rPr>
      </w:pPr>
      <w:r w:rsidRPr="718D9970">
        <w:rPr>
          <w:rFonts w:ascii="Work Sans" w:hAnsi="Work Sans" w:cs="Arial"/>
          <w:sz w:val="24"/>
          <w:szCs w:val="24"/>
        </w:rPr>
        <w:t> </w:t>
      </w:r>
    </w:p>
    <w:p w:rsidR="279A7965" w:rsidP="718D9970" w:rsidRDefault="005E188D" w14:paraId="0259FB5E" w14:textId="0EB73FC2">
      <w:pPr>
        <w:tabs>
          <w:tab w:val="left" w:pos="4650"/>
        </w:tabs>
        <w:spacing w:after="0"/>
        <w:ind w:right="51"/>
        <w:contextualSpacing/>
        <w:jc w:val="both"/>
        <w:rPr>
          <w:rFonts w:ascii="Work Sans" w:hAnsi="Work Sans" w:eastAsia="Work Sans" w:cs="Work Sans"/>
          <w:sz w:val="24"/>
          <w:szCs w:val="24"/>
        </w:rPr>
      </w:pPr>
      <w:r w:rsidRPr="718D9970">
        <w:rPr>
          <w:rFonts w:ascii="Work Sans" w:hAnsi="Work Sans" w:cs="Arial"/>
          <w:sz w:val="24"/>
          <w:szCs w:val="24"/>
        </w:rPr>
        <w:t xml:space="preserve">Y considerando que </w:t>
      </w:r>
      <w:r w:rsidRPr="718D9970" w:rsidR="00325771">
        <w:rPr>
          <w:rFonts w:ascii="Work Sans" w:hAnsi="Work Sans" w:cs="Arial"/>
          <w:sz w:val="24"/>
          <w:szCs w:val="24"/>
        </w:rPr>
        <w:t>las obras declaradas como Proyectos Urgentes se encuentran sujetas al procedimiento especial de convocatoria de carácter excepcional previsto en la Resolución MME 90604 de 2014 y en la Resolución CREG 093 de 2014, o aquellas que las modifiquen, adicionen o sustituyan, la Fecha de Puesta en Operación (FPO) aplicable para dichas obras será la establecida en la Resolución 40004 de 2026</w:t>
      </w:r>
      <w:r w:rsidRPr="718D9970" w:rsidR="279A7965">
        <w:rPr>
          <w:rFonts w:ascii="Work Sans" w:hAnsi="Work Sans"/>
          <w:sz w:val="24"/>
          <w:szCs w:val="24"/>
        </w:rPr>
        <w:t xml:space="preserve"> y continuarán sujetas para efectos de su adjudicación y ejecución, al procedimiento especial de convocatoria aplicable a este tipo de proyectos</w:t>
      </w:r>
      <w:r w:rsidRPr="718D9970" w:rsidR="002D01F8">
        <w:rPr>
          <w:rFonts w:ascii="Work Sans" w:hAnsi="Work Sans"/>
          <w:sz w:val="24"/>
          <w:szCs w:val="24"/>
        </w:rPr>
        <w:t>.</w:t>
      </w:r>
    </w:p>
    <w:p w:rsidR="427248B8" w:rsidP="427248B8" w:rsidRDefault="427248B8" w14:paraId="5C417EC5" w14:textId="01C65FC3">
      <w:pPr>
        <w:tabs>
          <w:tab w:val="left" w:pos="4650"/>
        </w:tabs>
        <w:spacing w:after="0"/>
        <w:ind w:right="51"/>
        <w:contextualSpacing/>
        <w:jc w:val="both"/>
        <w:rPr>
          <w:rFonts w:ascii="Work Sans" w:hAnsi="Work Sans" w:cs="Arial"/>
          <w:sz w:val="24"/>
          <w:szCs w:val="24"/>
        </w:rPr>
      </w:pPr>
    </w:p>
    <w:p w:rsidRPr="006936D0" w:rsidR="00500B8A" w:rsidP="007250AE" w:rsidRDefault="4E4B3094" w14:paraId="075F555C" w14:textId="2E8CD37D">
      <w:pPr>
        <w:tabs>
          <w:tab w:val="left" w:pos="4650"/>
        </w:tabs>
        <w:spacing w:after="0"/>
        <w:ind w:right="51"/>
        <w:contextualSpacing/>
        <w:jc w:val="both"/>
        <w:rPr>
          <w:rFonts w:ascii="Work Sans" w:hAnsi="Work Sans" w:cs="Arial"/>
          <w:b/>
          <w:bCs/>
          <w:sz w:val="24"/>
          <w:szCs w:val="24"/>
        </w:rPr>
      </w:pPr>
      <w:r w:rsidRPr="006936D0">
        <w:rPr>
          <w:rFonts w:ascii="Work Sans" w:hAnsi="Work Sans" w:cs="Arial"/>
          <w:b/>
          <w:bCs/>
          <w:sz w:val="24"/>
          <w:szCs w:val="24"/>
        </w:rPr>
        <w:t>3. Análisis y viabilidad técnica del proyecto</w:t>
      </w:r>
    </w:p>
    <w:p w:rsidRPr="006936D0" w:rsidR="00500B8A" w:rsidP="007250AE" w:rsidRDefault="00500B8A" w14:paraId="6F5A544E" w14:textId="77777777">
      <w:pPr>
        <w:tabs>
          <w:tab w:val="left" w:pos="4650"/>
        </w:tabs>
        <w:spacing w:after="0"/>
        <w:ind w:right="51"/>
        <w:contextualSpacing/>
        <w:jc w:val="both"/>
        <w:rPr>
          <w:rFonts w:ascii="Work Sans" w:hAnsi="Work Sans" w:cs="Arial"/>
          <w:b/>
          <w:bCs/>
          <w:sz w:val="24"/>
          <w:szCs w:val="24"/>
        </w:rPr>
      </w:pPr>
    </w:p>
    <w:p w:rsidR="00F15D88" w:rsidP="007250AE" w:rsidRDefault="4E4B3094" w14:paraId="1E7DF175" w14:textId="2B949DCD">
      <w:pPr>
        <w:tabs>
          <w:tab w:val="left" w:pos="4650"/>
        </w:tabs>
        <w:spacing w:after="0"/>
        <w:ind w:right="51"/>
        <w:contextualSpacing/>
        <w:jc w:val="both"/>
        <w:rPr>
          <w:rFonts w:ascii="Work Sans" w:hAnsi="Work Sans" w:cs="Arial"/>
          <w:sz w:val="24"/>
          <w:szCs w:val="24"/>
        </w:rPr>
      </w:pPr>
      <w:r w:rsidRPr="006936D0">
        <w:rPr>
          <w:rFonts w:ascii="Work Sans" w:hAnsi="Work Sans" w:cs="Arial"/>
          <w:sz w:val="24"/>
          <w:szCs w:val="24"/>
        </w:rPr>
        <w:t>A continuación, para cada una de las obras recomendadas por la UPME, se especific</w:t>
      </w:r>
      <w:r w:rsidRPr="006936D0" w:rsidR="4C8F11C2">
        <w:rPr>
          <w:rFonts w:ascii="Work Sans" w:hAnsi="Work Sans" w:cs="Arial"/>
          <w:sz w:val="24"/>
          <w:szCs w:val="24"/>
        </w:rPr>
        <w:t>a</w:t>
      </w:r>
      <w:r w:rsidRPr="006936D0">
        <w:rPr>
          <w:rFonts w:ascii="Work Sans" w:hAnsi="Work Sans" w:cs="Arial"/>
          <w:sz w:val="24"/>
          <w:szCs w:val="24"/>
        </w:rPr>
        <w:t xml:space="preserve"> </w:t>
      </w:r>
      <w:r w:rsidR="006C11F7">
        <w:rPr>
          <w:rFonts w:ascii="Work Sans" w:hAnsi="Work Sans" w:cs="Arial"/>
          <w:sz w:val="24"/>
          <w:szCs w:val="24"/>
        </w:rPr>
        <w:t xml:space="preserve">el alcance de </w:t>
      </w:r>
      <w:r w:rsidRPr="006936D0">
        <w:rPr>
          <w:rFonts w:ascii="Work Sans" w:hAnsi="Work Sans" w:cs="Arial"/>
          <w:sz w:val="24"/>
          <w:szCs w:val="24"/>
        </w:rPr>
        <w:t>la solución propuesta</w:t>
      </w:r>
      <w:r w:rsidR="005137ED">
        <w:rPr>
          <w:rFonts w:ascii="Work Sans" w:hAnsi="Work Sans" w:cs="Arial"/>
          <w:sz w:val="24"/>
          <w:szCs w:val="24"/>
        </w:rPr>
        <w:t xml:space="preserve"> y</w:t>
      </w:r>
      <w:r w:rsidR="00F877CD">
        <w:rPr>
          <w:rFonts w:ascii="Work Sans" w:hAnsi="Work Sans" w:cs="Arial"/>
          <w:sz w:val="24"/>
          <w:szCs w:val="24"/>
        </w:rPr>
        <w:t xml:space="preserve"> el impacto de la obra</w:t>
      </w:r>
      <w:r w:rsidRPr="006936D0">
        <w:rPr>
          <w:rFonts w:ascii="Work Sans" w:hAnsi="Work Sans" w:cs="Arial"/>
          <w:sz w:val="24"/>
          <w:szCs w:val="24"/>
        </w:rPr>
        <w:t>, para determinar la oportunidad y conveniencia de l</w:t>
      </w:r>
      <w:r w:rsidRPr="006936D0" w:rsidR="3409ADBD">
        <w:rPr>
          <w:rFonts w:ascii="Work Sans" w:hAnsi="Work Sans" w:cs="Arial"/>
          <w:sz w:val="24"/>
          <w:szCs w:val="24"/>
        </w:rPr>
        <w:t xml:space="preserve">as obras </w:t>
      </w:r>
      <w:r w:rsidRPr="006936D0">
        <w:rPr>
          <w:rFonts w:ascii="Work Sans" w:hAnsi="Work Sans" w:cs="Arial"/>
          <w:sz w:val="24"/>
          <w:szCs w:val="24"/>
        </w:rPr>
        <w:t>a aprobar.</w:t>
      </w:r>
    </w:p>
    <w:p w:rsidR="00F15D88" w:rsidP="007250AE" w:rsidRDefault="00F15D88" w14:paraId="2CED14CA" w14:textId="77777777">
      <w:pPr>
        <w:tabs>
          <w:tab w:val="left" w:pos="4650"/>
        </w:tabs>
        <w:spacing w:after="0"/>
        <w:ind w:right="51"/>
        <w:contextualSpacing/>
        <w:jc w:val="both"/>
        <w:rPr>
          <w:rFonts w:ascii="Work Sans" w:hAnsi="Work Sans" w:cs="Arial"/>
          <w:sz w:val="24"/>
          <w:szCs w:val="24"/>
        </w:rPr>
      </w:pPr>
    </w:p>
    <w:p w:rsidRPr="00340F5B" w:rsidR="00F15D88" w:rsidP="12AE42D8" w:rsidRDefault="0047445B" w14:paraId="160F43C0" w14:textId="05562458">
      <w:pPr>
        <w:tabs>
          <w:tab w:val="left" w:pos="4650"/>
        </w:tabs>
        <w:spacing w:after="0"/>
        <w:ind w:right="51"/>
        <w:contextualSpacing w:val="1"/>
        <w:jc w:val="both"/>
        <w:rPr>
          <w:rFonts w:ascii="Work Sans" w:hAnsi="Work Sans" w:cs="Arial"/>
          <w:b w:val="1"/>
          <w:bCs w:val="1"/>
          <w:sz w:val="24"/>
          <w:szCs w:val="24"/>
          <w:u w:val="single"/>
        </w:rPr>
      </w:pPr>
      <w:r w:rsidRPr="12AE42D8" w:rsidR="0047445B">
        <w:rPr>
          <w:rFonts w:ascii="Work Sans" w:hAnsi="Work Sans" w:cs="Arial"/>
          <w:b w:val="1"/>
          <w:bCs w:val="1"/>
          <w:sz w:val="24"/>
          <w:szCs w:val="24"/>
          <w:u w:val="single"/>
        </w:rPr>
        <w:t xml:space="preserve">Cuarto </w:t>
      </w:r>
      <w:r w:rsidRPr="12AE42D8" w:rsidR="406F29A5">
        <w:rPr>
          <w:rFonts w:ascii="Work Sans" w:hAnsi="Work Sans" w:cs="Arial"/>
          <w:b w:val="1"/>
          <w:bCs w:val="1"/>
          <w:sz w:val="24"/>
          <w:szCs w:val="24"/>
          <w:highlight w:val="yellow"/>
          <w:u w:val="single"/>
        </w:rPr>
        <w:t>banco de auto</w:t>
      </w:r>
      <w:r w:rsidRPr="12AE42D8" w:rsidR="0047445B">
        <w:rPr>
          <w:rFonts w:ascii="Work Sans" w:hAnsi="Work Sans" w:cs="Arial"/>
          <w:b w:val="1"/>
          <w:bCs w:val="1"/>
          <w:sz w:val="24"/>
          <w:szCs w:val="24"/>
          <w:u w:val="single"/>
        </w:rPr>
        <w:t>transformador</w:t>
      </w:r>
      <w:r w:rsidRPr="12AE42D8" w:rsidR="4B5287AB">
        <w:rPr>
          <w:rFonts w:ascii="Work Sans" w:hAnsi="Work Sans" w:cs="Arial"/>
          <w:b w:val="1"/>
          <w:bCs w:val="1"/>
          <w:sz w:val="24"/>
          <w:szCs w:val="24"/>
          <w:highlight w:val="yellow"/>
          <w:u w:val="single"/>
        </w:rPr>
        <w:t>es</w:t>
      </w:r>
      <w:r w:rsidRPr="12AE42D8" w:rsidR="0047445B">
        <w:rPr>
          <w:rFonts w:ascii="Work Sans" w:hAnsi="Work Sans" w:cs="Arial"/>
          <w:b w:val="1"/>
          <w:bCs w:val="1"/>
          <w:sz w:val="24"/>
          <w:szCs w:val="24"/>
          <w:u w:val="single"/>
        </w:rPr>
        <w:t xml:space="preserve"> en la subestación Chinú 500/110 kV (Obra declarada como Proyectos Urgentes mediante la Resolución MME 40004 de 2026)</w:t>
      </w:r>
    </w:p>
    <w:p w:rsidR="00F15D88" w:rsidP="007250AE" w:rsidRDefault="00F15D88" w14:paraId="71750214" w14:textId="77777777">
      <w:pPr>
        <w:tabs>
          <w:tab w:val="left" w:pos="4650"/>
        </w:tabs>
        <w:spacing w:after="0"/>
        <w:ind w:right="51"/>
        <w:contextualSpacing/>
        <w:jc w:val="both"/>
        <w:rPr>
          <w:rFonts w:ascii="Work Sans" w:hAnsi="Work Sans" w:cs="Arial"/>
          <w:sz w:val="24"/>
          <w:szCs w:val="24"/>
        </w:rPr>
      </w:pPr>
    </w:p>
    <w:p w:rsidR="00001AFC" w:rsidP="007250AE" w:rsidRDefault="00EB6AEB" w14:paraId="00BCA5AC" w14:textId="155BD9B8">
      <w:pPr>
        <w:tabs>
          <w:tab w:val="left" w:pos="4650"/>
        </w:tabs>
        <w:spacing w:after="0"/>
        <w:ind w:left="708" w:right="51"/>
        <w:contextualSpacing/>
        <w:jc w:val="both"/>
        <w:rPr>
          <w:rFonts w:ascii="Work Sans" w:hAnsi="Work Sans" w:cs="Arial"/>
          <w:sz w:val="24"/>
          <w:szCs w:val="24"/>
        </w:rPr>
      </w:pPr>
      <w:r w:rsidRPr="00220EF9">
        <w:rPr>
          <w:rFonts w:ascii="Work Sans" w:hAnsi="Work Sans" w:cs="Arial"/>
          <w:b/>
          <w:bCs/>
          <w:sz w:val="24"/>
          <w:szCs w:val="24"/>
        </w:rPr>
        <w:t>Alcance:</w:t>
      </w:r>
      <w:r>
        <w:rPr>
          <w:rFonts w:ascii="Work Sans" w:hAnsi="Work Sans" w:cs="Arial"/>
          <w:sz w:val="24"/>
          <w:szCs w:val="24"/>
        </w:rPr>
        <w:t xml:space="preserve"> </w:t>
      </w:r>
      <w:r w:rsidRPr="00937837" w:rsidR="00937837">
        <w:rPr>
          <w:rFonts w:ascii="Work Sans" w:hAnsi="Work Sans" w:cs="Arial"/>
          <w:sz w:val="24"/>
          <w:szCs w:val="24"/>
        </w:rPr>
        <w:t xml:space="preserve">La obra comprende </w:t>
      </w:r>
      <w:r w:rsidR="00937837">
        <w:rPr>
          <w:rFonts w:ascii="Work Sans" w:hAnsi="Work Sans" w:cs="Arial"/>
          <w:sz w:val="24"/>
          <w:szCs w:val="24"/>
        </w:rPr>
        <w:t>las</w:t>
      </w:r>
      <w:r w:rsidRPr="00937837" w:rsidR="00937837">
        <w:rPr>
          <w:rFonts w:ascii="Work Sans" w:hAnsi="Work Sans" w:cs="Arial"/>
          <w:sz w:val="24"/>
          <w:szCs w:val="24"/>
        </w:rPr>
        <w:t xml:space="preserve"> intervenciones descrit</w:t>
      </w:r>
      <w:r w:rsidR="00937837">
        <w:rPr>
          <w:rFonts w:ascii="Work Sans" w:hAnsi="Work Sans" w:cs="Arial"/>
          <w:sz w:val="24"/>
          <w:szCs w:val="24"/>
        </w:rPr>
        <w:t>a</w:t>
      </w:r>
      <w:r w:rsidRPr="00937837" w:rsidR="00937837">
        <w:rPr>
          <w:rFonts w:ascii="Work Sans" w:hAnsi="Work Sans" w:cs="Arial"/>
          <w:sz w:val="24"/>
          <w:szCs w:val="24"/>
        </w:rPr>
        <w:t>s a continuación:</w:t>
      </w:r>
    </w:p>
    <w:p w:rsidR="735ED2C8" w:rsidP="735ED2C8" w:rsidRDefault="735ED2C8" w14:paraId="6D42140D" w14:textId="7F62F0E2">
      <w:pPr>
        <w:tabs>
          <w:tab w:val="left" w:pos="4650"/>
        </w:tabs>
        <w:spacing w:after="0"/>
        <w:ind w:left="708" w:right="51"/>
        <w:contextualSpacing/>
        <w:jc w:val="both"/>
        <w:rPr>
          <w:rFonts w:ascii="Work Sans" w:hAnsi="Work Sans" w:cs="Arial"/>
          <w:sz w:val="24"/>
          <w:szCs w:val="24"/>
        </w:rPr>
      </w:pPr>
    </w:p>
    <w:p w:rsidRPr="00001AFC" w:rsidR="00F15D88" w:rsidP="12AE42D8" w:rsidRDefault="00EB6AEB" w14:paraId="42947F9F" w14:textId="27798F57">
      <w:pPr>
        <w:pStyle w:val="ListParagraph"/>
        <w:numPr>
          <w:ilvl w:val="0"/>
          <w:numId w:val="9"/>
        </w:numPr>
        <w:tabs>
          <w:tab w:val="left" w:pos="4650"/>
        </w:tabs>
        <w:spacing w:after="0"/>
        <w:ind w:right="51"/>
        <w:contextualSpacing w:val="1"/>
        <w:jc w:val="both"/>
        <w:rPr>
          <w:rFonts w:ascii="Work Sans" w:hAnsi="Work Sans" w:cs="Arial"/>
          <w:sz w:val="24"/>
          <w:szCs w:val="24"/>
        </w:rPr>
      </w:pPr>
      <w:r w:rsidRPr="12AE42D8" w:rsidR="00EB6AEB">
        <w:rPr>
          <w:rFonts w:ascii="Work Sans" w:hAnsi="Work Sans" w:cs="Arial"/>
          <w:sz w:val="24"/>
          <w:szCs w:val="24"/>
        </w:rPr>
        <w:t>La entrada en operación de un cuarto</w:t>
      </w:r>
      <w:r w:rsidRPr="12AE42D8" w:rsidR="1281F3C6">
        <w:rPr>
          <w:rFonts w:ascii="Work Sans" w:hAnsi="Work Sans" w:cs="Arial"/>
          <w:sz w:val="24"/>
          <w:szCs w:val="24"/>
        </w:rPr>
        <w:t xml:space="preserve"> </w:t>
      </w:r>
      <w:r w:rsidRPr="12AE42D8" w:rsidR="1281F3C6">
        <w:rPr>
          <w:rFonts w:ascii="Work Sans" w:hAnsi="Work Sans" w:cs="Arial"/>
          <w:sz w:val="24"/>
          <w:szCs w:val="24"/>
          <w:highlight w:val="yellow"/>
        </w:rPr>
        <w:t>banco de</w:t>
      </w:r>
      <w:r w:rsidRPr="12AE42D8" w:rsidR="00EB6AEB">
        <w:rPr>
          <w:rFonts w:ascii="Work Sans" w:hAnsi="Work Sans" w:cs="Arial"/>
          <w:sz w:val="24"/>
          <w:szCs w:val="24"/>
        </w:rPr>
        <w:t xml:space="preserve"> </w:t>
      </w:r>
      <w:r w:rsidRPr="12AE42D8" w:rsidR="7531D2AA">
        <w:rPr>
          <w:rFonts w:ascii="Work Sans" w:hAnsi="Work Sans" w:cs="Arial"/>
          <w:sz w:val="24"/>
          <w:szCs w:val="24"/>
          <w:highlight w:val="yellow"/>
        </w:rPr>
        <w:t>auto</w:t>
      </w:r>
      <w:r w:rsidRPr="12AE42D8" w:rsidR="00EB6AEB">
        <w:rPr>
          <w:rFonts w:ascii="Work Sans" w:hAnsi="Work Sans" w:cs="Arial"/>
          <w:sz w:val="24"/>
          <w:szCs w:val="24"/>
        </w:rPr>
        <w:t>transformador</w:t>
      </w:r>
      <w:r w:rsidRPr="12AE42D8" w:rsidR="7FF8E8BB">
        <w:rPr>
          <w:rFonts w:ascii="Work Sans" w:hAnsi="Work Sans" w:cs="Arial"/>
          <w:sz w:val="24"/>
          <w:szCs w:val="24"/>
          <w:highlight w:val="yellow"/>
        </w:rPr>
        <w:t>es</w:t>
      </w:r>
      <w:r w:rsidRPr="12AE42D8" w:rsidR="00EB6AEB">
        <w:rPr>
          <w:rFonts w:ascii="Work Sans" w:hAnsi="Work Sans" w:cs="Arial"/>
          <w:sz w:val="24"/>
          <w:szCs w:val="24"/>
          <w:highlight w:val="yellow"/>
        </w:rPr>
        <w:t xml:space="preserve"> </w:t>
      </w:r>
      <w:r w:rsidRPr="12AE42D8" w:rsidR="39B02CC0">
        <w:rPr>
          <w:rFonts w:ascii="Work Sans" w:hAnsi="Work Sans" w:cs="Arial"/>
          <w:sz w:val="24"/>
          <w:szCs w:val="24"/>
          <w:highlight w:val="yellow"/>
        </w:rPr>
        <w:t xml:space="preserve">monofasicos </w:t>
      </w:r>
      <w:r w:rsidRPr="12AE42D8" w:rsidR="7A09244E">
        <w:rPr>
          <w:rFonts w:ascii="Work Sans" w:hAnsi="Work Sans" w:cs="Arial"/>
          <w:sz w:val="24"/>
          <w:szCs w:val="24"/>
          <w:highlight w:val="yellow"/>
        </w:rPr>
        <w:t>de 150 MVA en la subestación</w:t>
      </w:r>
      <w:r w:rsidRPr="12AE42D8" w:rsidR="7A09244E">
        <w:rPr>
          <w:rFonts w:ascii="Work Sans" w:hAnsi="Work Sans" w:cs="Arial"/>
          <w:sz w:val="24"/>
          <w:szCs w:val="24"/>
        </w:rPr>
        <w:t xml:space="preserve"> </w:t>
      </w:r>
      <w:r w:rsidRPr="12AE42D8" w:rsidR="00EB6AEB">
        <w:rPr>
          <w:rFonts w:ascii="Work Sans" w:hAnsi="Work Sans" w:cs="Arial"/>
          <w:sz w:val="24"/>
          <w:szCs w:val="24"/>
        </w:rPr>
        <w:t>Chinú 500/</w:t>
      </w:r>
      <w:r w:rsidRPr="12AE42D8" w:rsidR="00EB6AEB">
        <w:rPr>
          <w:rFonts w:ascii="Work Sans" w:hAnsi="Work Sans" w:cs="Arial"/>
          <w:sz w:val="24"/>
          <w:szCs w:val="24"/>
        </w:rPr>
        <w:t>110/34.5 kV, junto</w:t>
      </w:r>
      <w:r w:rsidRPr="12AE42D8" w:rsidR="00EB6AEB">
        <w:rPr>
          <w:rFonts w:ascii="Work Sans" w:hAnsi="Work Sans" w:cs="Arial"/>
          <w:sz w:val="24"/>
          <w:szCs w:val="24"/>
        </w:rPr>
        <w:t xml:space="preserve"> con la bahía de transformación a nivel de 110 kV y la bahía de transformación a nivel de 500 kV.</w:t>
      </w:r>
    </w:p>
    <w:p w:rsidR="12AE42D8" w:rsidP="12AE42D8" w:rsidRDefault="12AE42D8" w14:paraId="47D9090F" w14:textId="6184B3B0">
      <w:pPr>
        <w:pStyle w:val="ListParagraph"/>
        <w:tabs>
          <w:tab w:val="left" w:leader="none" w:pos="4650"/>
        </w:tabs>
        <w:spacing w:after="0"/>
        <w:ind w:left="1428" w:right="51"/>
        <w:contextualSpacing w:val="1"/>
        <w:jc w:val="both"/>
        <w:rPr>
          <w:rFonts w:ascii="Work Sans" w:hAnsi="Work Sans" w:cs="Arial"/>
          <w:sz w:val="24"/>
          <w:szCs w:val="24"/>
        </w:rPr>
      </w:pPr>
    </w:p>
    <w:p w:rsidRPr="00220EF9" w:rsidR="00220EF9" w:rsidP="007250AE" w:rsidRDefault="00220EF9" w14:paraId="2FBEF0A8" w14:textId="0E1FFA5E">
      <w:pPr>
        <w:tabs>
          <w:tab w:val="left" w:pos="4650"/>
        </w:tabs>
        <w:spacing w:after="0"/>
        <w:ind w:left="708" w:right="51"/>
        <w:contextualSpacing/>
        <w:jc w:val="both"/>
        <w:rPr>
          <w:rFonts w:ascii="Work Sans" w:hAnsi="Work Sans" w:eastAsia="Work Sans" w:cs="Work Sans"/>
          <w:b/>
          <w:bCs/>
          <w:color w:val="000000" w:themeColor="text1"/>
          <w:sz w:val="24"/>
          <w:szCs w:val="24"/>
        </w:rPr>
      </w:pPr>
      <w:r w:rsidRPr="00220EF9">
        <w:rPr>
          <w:rFonts w:ascii="Work Sans" w:hAnsi="Work Sans" w:eastAsia="Work Sans" w:cs="Work Sans"/>
          <w:b/>
          <w:bCs/>
          <w:color w:val="000000" w:themeColor="text1"/>
          <w:sz w:val="24"/>
          <w:szCs w:val="24"/>
        </w:rPr>
        <w:t>Impacto de la obra:</w:t>
      </w:r>
      <w:r w:rsidR="005137ED">
        <w:rPr>
          <w:rFonts w:ascii="Work Sans" w:hAnsi="Work Sans" w:eastAsia="Work Sans" w:cs="Work Sans"/>
          <w:b/>
          <w:bCs/>
          <w:color w:val="000000" w:themeColor="text1"/>
          <w:sz w:val="24"/>
          <w:szCs w:val="24"/>
        </w:rPr>
        <w:t xml:space="preserve"> </w:t>
      </w:r>
      <w:r w:rsidRPr="00180B25" w:rsidR="00180B25">
        <w:rPr>
          <w:rFonts w:ascii="Work Sans" w:hAnsi="Work Sans" w:eastAsia="Work Sans" w:cs="Work Sans"/>
          <w:color w:val="000000" w:themeColor="text1"/>
          <w:sz w:val="24"/>
          <w:szCs w:val="24"/>
        </w:rPr>
        <w:t xml:space="preserve">La implementación de la </w:t>
      </w:r>
      <w:r w:rsidR="00180B25">
        <w:rPr>
          <w:rFonts w:ascii="Work Sans" w:hAnsi="Work Sans" w:eastAsia="Work Sans" w:cs="Work Sans"/>
          <w:color w:val="000000" w:themeColor="text1"/>
          <w:sz w:val="24"/>
          <w:szCs w:val="24"/>
        </w:rPr>
        <w:t>obra</w:t>
      </w:r>
      <w:r w:rsidRPr="00180B25" w:rsidR="00180B25">
        <w:rPr>
          <w:rFonts w:ascii="Work Sans" w:hAnsi="Work Sans" w:eastAsia="Work Sans" w:cs="Work Sans"/>
          <w:color w:val="000000" w:themeColor="text1"/>
          <w:sz w:val="24"/>
          <w:szCs w:val="24"/>
        </w:rPr>
        <w:t xml:space="preserve"> permite fortalecer el perfil de tensión en </w:t>
      </w:r>
      <w:r w:rsidR="00180B25">
        <w:rPr>
          <w:rFonts w:ascii="Work Sans" w:hAnsi="Work Sans" w:eastAsia="Work Sans" w:cs="Work Sans"/>
          <w:color w:val="000000" w:themeColor="text1"/>
          <w:sz w:val="24"/>
          <w:szCs w:val="24"/>
        </w:rPr>
        <w:t>condiciones normales de operación</w:t>
      </w:r>
      <w:r w:rsidRPr="00180B25" w:rsidR="00180B25">
        <w:rPr>
          <w:rFonts w:ascii="Work Sans" w:hAnsi="Work Sans" w:eastAsia="Work Sans" w:cs="Work Sans"/>
          <w:color w:val="000000" w:themeColor="text1"/>
          <w:sz w:val="24"/>
          <w:szCs w:val="24"/>
        </w:rPr>
        <w:t xml:space="preserve"> y frente a contingencias N-1 en diversas subestaciones del área, incluyendo Chinú Planta 110 kV, La Mojana 110 kV, Cereté 110 kV, Nueva Lorica 110 kV y Nueva Toluviejo 110 kV. Asimismo, se disminuyen los niveles de </w:t>
      </w:r>
      <w:proofErr w:type="spellStart"/>
      <w:r w:rsidRPr="00180B25" w:rsidR="00180B25">
        <w:rPr>
          <w:rFonts w:ascii="Work Sans" w:hAnsi="Work Sans" w:eastAsia="Work Sans" w:cs="Work Sans"/>
          <w:color w:val="000000" w:themeColor="text1"/>
          <w:sz w:val="24"/>
          <w:szCs w:val="24"/>
        </w:rPr>
        <w:t>cargabilidad</w:t>
      </w:r>
      <w:proofErr w:type="spellEnd"/>
      <w:r w:rsidRPr="00180B25" w:rsidR="00180B25">
        <w:rPr>
          <w:rFonts w:ascii="Work Sans" w:hAnsi="Work Sans" w:eastAsia="Work Sans" w:cs="Work Sans"/>
          <w:color w:val="000000" w:themeColor="text1"/>
          <w:sz w:val="24"/>
          <w:szCs w:val="24"/>
        </w:rPr>
        <w:t xml:space="preserve"> de los transformadores 500/110/34,5 kV de la subestación Chinú, mejorando su desempeño operativo tanto en </w:t>
      </w:r>
      <w:r w:rsidR="00BC2D41">
        <w:rPr>
          <w:rFonts w:ascii="Work Sans" w:hAnsi="Work Sans" w:eastAsia="Work Sans" w:cs="Work Sans"/>
          <w:color w:val="000000" w:themeColor="text1"/>
          <w:sz w:val="24"/>
          <w:szCs w:val="24"/>
        </w:rPr>
        <w:t>condiciones normales de operación</w:t>
      </w:r>
      <w:r w:rsidRPr="00180B25" w:rsidR="00BC2D41">
        <w:rPr>
          <w:rFonts w:ascii="Work Sans" w:hAnsi="Work Sans" w:eastAsia="Work Sans" w:cs="Work Sans"/>
          <w:color w:val="000000" w:themeColor="text1"/>
          <w:sz w:val="24"/>
          <w:szCs w:val="24"/>
        </w:rPr>
        <w:t xml:space="preserve"> </w:t>
      </w:r>
      <w:r w:rsidRPr="00180B25" w:rsidR="00180B25">
        <w:rPr>
          <w:rFonts w:ascii="Work Sans" w:hAnsi="Work Sans" w:eastAsia="Work Sans" w:cs="Work Sans"/>
          <w:color w:val="000000" w:themeColor="text1"/>
          <w:sz w:val="24"/>
          <w:szCs w:val="24"/>
        </w:rPr>
        <w:t>como en escenarios de contingencia.</w:t>
      </w:r>
    </w:p>
    <w:p w:rsidR="00220EF9" w:rsidP="007250AE" w:rsidRDefault="00220EF9" w14:paraId="6825D33D"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7E5D4A" w:rsidP="007250AE" w:rsidRDefault="005137ED" w14:paraId="2CBE9A7F" w14:textId="1D3FD4E6">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sidR="007E5D4A">
        <w:rPr>
          <w:rFonts w:ascii="Work Sans" w:hAnsi="Work Sans" w:eastAsia="Work Sans" w:cs="Work Sans"/>
          <w:color w:val="000000" w:themeColor="text1"/>
          <w:sz w:val="24"/>
          <w:szCs w:val="24"/>
        </w:rPr>
        <w:t xml:space="preserve">En </w:t>
      </w:r>
      <w:r w:rsidR="00AA69D2">
        <w:rPr>
          <w:rFonts w:ascii="Work Sans" w:hAnsi="Work Sans" w:eastAsia="Work Sans" w:cs="Work Sans"/>
          <w:color w:val="000000" w:themeColor="text1"/>
          <w:sz w:val="24"/>
          <w:szCs w:val="24"/>
        </w:rPr>
        <w:t xml:space="preserve">el </w:t>
      </w:r>
      <w:r w:rsidRPr="006936D0" w:rsidR="007E5D4A">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4D1235" w:rsidR="007E5D4A">
        <w:rPr>
          <w:rFonts w:ascii="Work Sans" w:hAnsi="Work Sans" w:eastAsia="Work Sans" w:cs="Work Sans"/>
          <w:color w:val="000000" w:themeColor="text1"/>
          <w:sz w:val="24"/>
          <w:szCs w:val="24"/>
        </w:rPr>
        <w:t xml:space="preserve">es </w:t>
      </w:r>
      <w:r w:rsidRPr="004D1235" w:rsidR="004C1430">
        <w:rPr>
          <w:rFonts w:ascii="Work Sans" w:hAnsi="Work Sans" w:eastAsia="Work Sans" w:cs="Work Sans"/>
          <w:color w:val="000000" w:themeColor="text1"/>
          <w:sz w:val="24"/>
          <w:szCs w:val="24"/>
        </w:rPr>
        <w:t>2.04</w:t>
      </w:r>
      <w:r w:rsidRPr="004D1235" w:rsidR="007E5D4A">
        <w:rPr>
          <w:rFonts w:ascii="Work Sans" w:hAnsi="Work Sans" w:eastAsia="Work Sans" w:cs="Work Sans"/>
          <w:color w:val="000000" w:themeColor="text1"/>
          <w:sz w:val="24"/>
          <w:szCs w:val="24"/>
        </w:rPr>
        <w:t>, superior a 1.</w:t>
      </w:r>
    </w:p>
    <w:p w:rsidR="00BC72BE" w:rsidP="007250AE" w:rsidRDefault="00BC72BE" w14:paraId="027A6C21" w14:textId="77777777">
      <w:pPr>
        <w:tabs>
          <w:tab w:val="left" w:pos="4650"/>
        </w:tabs>
        <w:spacing w:after="0"/>
        <w:ind w:right="51"/>
        <w:contextualSpacing/>
        <w:jc w:val="both"/>
        <w:rPr>
          <w:rFonts w:ascii="Work Sans" w:hAnsi="Work Sans" w:cs="Arial"/>
          <w:b/>
          <w:bCs/>
          <w:sz w:val="24"/>
          <w:szCs w:val="24"/>
        </w:rPr>
      </w:pPr>
    </w:p>
    <w:p w:rsidR="0047445B" w:rsidP="397E51D1" w:rsidRDefault="0047445B" w14:paraId="20779F36" w14:textId="5825E775">
      <w:pPr>
        <w:tabs>
          <w:tab w:val="left" w:pos="4650"/>
        </w:tabs>
        <w:spacing w:after="0"/>
        <w:ind w:right="51"/>
        <w:contextualSpacing/>
        <w:jc w:val="both"/>
        <w:rPr>
          <w:rFonts w:ascii="Work Sans" w:hAnsi="Work Sans" w:cs="Arial"/>
          <w:b/>
          <w:bCs/>
          <w:sz w:val="24"/>
          <w:szCs w:val="24"/>
          <w:u w:val="single"/>
        </w:rPr>
      </w:pPr>
      <w:r w:rsidRPr="397E51D1">
        <w:rPr>
          <w:rFonts w:ascii="Work Sans" w:hAnsi="Work Sans" w:cs="Arial"/>
          <w:b/>
          <w:bCs/>
          <w:sz w:val="24"/>
          <w:szCs w:val="24"/>
          <w:u w:val="single"/>
        </w:rPr>
        <w:t>Incorporación de reactor de línea en el corredor Chinú – Nueva Magangué – El Copey 500 kV (Obra declarada como Proyectos Urgentes mediante la Resolución MME 40004 de 2026)</w:t>
      </w:r>
    </w:p>
    <w:p w:rsidR="397E51D1" w:rsidP="397E51D1" w:rsidRDefault="397E51D1" w14:paraId="7558C1C2" w14:textId="2EB626EE">
      <w:pPr>
        <w:tabs>
          <w:tab w:val="left" w:pos="4650"/>
        </w:tabs>
        <w:spacing w:after="0"/>
        <w:ind w:right="51"/>
        <w:contextualSpacing/>
        <w:jc w:val="both"/>
        <w:rPr>
          <w:rFonts w:ascii="Work Sans" w:hAnsi="Work Sans" w:cs="Arial"/>
          <w:b/>
          <w:bCs/>
          <w:sz w:val="24"/>
          <w:szCs w:val="24"/>
          <w:u w:val="single"/>
        </w:rPr>
      </w:pPr>
    </w:p>
    <w:p w:rsidR="00937837" w:rsidP="007250AE" w:rsidRDefault="00340F5B" w14:paraId="7489058F" w14:textId="5EC07679">
      <w:pPr>
        <w:tabs>
          <w:tab w:val="left" w:pos="4650"/>
        </w:tabs>
        <w:spacing w:after="0"/>
        <w:ind w:left="708" w:right="51"/>
        <w:contextualSpacing/>
        <w:jc w:val="both"/>
        <w:rPr>
          <w:rFonts w:ascii="Work Sans" w:hAnsi="Work Sans" w:cs="Arial"/>
          <w:sz w:val="24"/>
          <w:szCs w:val="24"/>
        </w:rPr>
      </w:pPr>
      <w:r w:rsidRPr="00220EF9">
        <w:rPr>
          <w:rFonts w:ascii="Work Sans" w:hAnsi="Work Sans" w:cs="Arial"/>
          <w:b/>
          <w:bCs/>
          <w:sz w:val="24"/>
          <w:szCs w:val="24"/>
        </w:rPr>
        <w:t>Alcance:</w:t>
      </w:r>
      <w:r w:rsidRPr="00937837" w:rsidR="00937837">
        <w:rPr>
          <w:rFonts w:ascii="Work Sans" w:hAnsi="Work Sans" w:cs="Arial"/>
          <w:sz w:val="24"/>
          <w:szCs w:val="24"/>
        </w:rPr>
        <w:t xml:space="preserve"> La obra comprende </w:t>
      </w:r>
      <w:r w:rsidR="00937837">
        <w:rPr>
          <w:rFonts w:ascii="Work Sans" w:hAnsi="Work Sans" w:cs="Arial"/>
          <w:sz w:val="24"/>
          <w:szCs w:val="24"/>
        </w:rPr>
        <w:t>las</w:t>
      </w:r>
      <w:r w:rsidRPr="00937837" w:rsidR="00937837">
        <w:rPr>
          <w:rFonts w:ascii="Work Sans" w:hAnsi="Work Sans" w:cs="Arial"/>
          <w:sz w:val="24"/>
          <w:szCs w:val="24"/>
        </w:rPr>
        <w:t xml:space="preserve"> intervenciones descrit</w:t>
      </w:r>
      <w:r w:rsidR="00937837">
        <w:rPr>
          <w:rFonts w:ascii="Work Sans" w:hAnsi="Work Sans" w:cs="Arial"/>
          <w:sz w:val="24"/>
          <w:szCs w:val="24"/>
        </w:rPr>
        <w:t>a</w:t>
      </w:r>
      <w:r w:rsidRPr="00937837" w:rsidR="00937837">
        <w:rPr>
          <w:rFonts w:ascii="Work Sans" w:hAnsi="Work Sans" w:cs="Arial"/>
          <w:sz w:val="24"/>
          <w:szCs w:val="24"/>
        </w:rPr>
        <w:t>s a continuación:</w:t>
      </w:r>
    </w:p>
    <w:p w:rsidR="417AF0E1" w:rsidP="417AF0E1" w:rsidRDefault="417AF0E1" w14:paraId="2AECCA6D" w14:textId="4854D601">
      <w:pPr>
        <w:tabs>
          <w:tab w:val="left" w:pos="4650"/>
        </w:tabs>
        <w:spacing w:after="0"/>
        <w:ind w:left="708" w:right="51"/>
        <w:contextualSpacing/>
        <w:jc w:val="both"/>
        <w:rPr>
          <w:rFonts w:ascii="Work Sans" w:hAnsi="Work Sans" w:cs="Arial"/>
          <w:sz w:val="24"/>
          <w:szCs w:val="24"/>
        </w:rPr>
      </w:pPr>
    </w:p>
    <w:p w:rsidRPr="00937837" w:rsidR="00340F5B" w:rsidP="397E51D1" w:rsidRDefault="00822017" w14:paraId="57EFB3F8" w14:textId="7EE6BA61">
      <w:pPr>
        <w:pStyle w:val="ListParagraph"/>
        <w:numPr>
          <w:ilvl w:val="0"/>
          <w:numId w:val="9"/>
        </w:numPr>
        <w:tabs>
          <w:tab w:val="left" w:pos="4650"/>
        </w:tabs>
        <w:spacing w:after="0"/>
        <w:ind w:right="51"/>
        <w:contextualSpacing/>
        <w:jc w:val="both"/>
        <w:rPr>
          <w:rFonts w:ascii="Work Sans" w:hAnsi="Work Sans" w:cs="Arial"/>
          <w:sz w:val="24"/>
          <w:szCs w:val="24"/>
        </w:rPr>
      </w:pPr>
      <w:r w:rsidRPr="397E51D1">
        <w:rPr>
          <w:rFonts w:ascii="Work Sans" w:hAnsi="Work Sans" w:cs="Arial"/>
          <w:sz w:val="24"/>
          <w:szCs w:val="24"/>
        </w:rPr>
        <w:t xml:space="preserve">Instalación de un reactor de línea de 84 </w:t>
      </w:r>
      <w:proofErr w:type="spellStart"/>
      <w:r w:rsidRPr="397E51D1">
        <w:rPr>
          <w:rFonts w:ascii="Work Sans" w:hAnsi="Work Sans" w:cs="Arial"/>
          <w:sz w:val="24"/>
          <w:szCs w:val="24"/>
        </w:rPr>
        <w:t>MVAr</w:t>
      </w:r>
      <w:proofErr w:type="spellEnd"/>
      <w:r w:rsidRPr="397E51D1">
        <w:rPr>
          <w:rFonts w:ascii="Work Sans" w:hAnsi="Work Sans" w:cs="Arial"/>
          <w:sz w:val="24"/>
          <w:szCs w:val="24"/>
        </w:rPr>
        <w:t xml:space="preserve"> al extremo de la subestación Nueva Magangué 500 kV en la línea Nueva Magangué - Copey 500 kV, conservando los reactores de línea </w:t>
      </w:r>
      <w:r w:rsidRPr="397E51D1">
        <w:rPr>
          <w:rFonts w:ascii="Work Sans" w:hAnsi="Work Sans" w:cs="Arial"/>
          <w:sz w:val="24"/>
          <w:szCs w:val="24"/>
        </w:rPr>
        <w:lastRenderedPageBreak/>
        <w:t xml:space="preserve">de 84 </w:t>
      </w:r>
      <w:proofErr w:type="spellStart"/>
      <w:r w:rsidRPr="397E51D1">
        <w:rPr>
          <w:rFonts w:ascii="Work Sans" w:hAnsi="Work Sans" w:cs="Arial"/>
          <w:sz w:val="24"/>
          <w:szCs w:val="24"/>
        </w:rPr>
        <w:t>MVAr</w:t>
      </w:r>
      <w:proofErr w:type="spellEnd"/>
      <w:r w:rsidRPr="397E51D1">
        <w:rPr>
          <w:rFonts w:ascii="Work Sans" w:hAnsi="Work Sans" w:cs="Arial"/>
          <w:sz w:val="24"/>
          <w:szCs w:val="24"/>
        </w:rPr>
        <w:t xml:space="preserve"> al extremo de la subestación Chinú 500 kV y al extremo de la subestación Copey 500 kV.</w:t>
      </w:r>
    </w:p>
    <w:p w:rsidR="397E51D1" w:rsidP="397E51D1" w:rsidRDefault="397E51D1" w14:paraId="522101CB" w14:textId="71AB4490">
      <w:pPr>
        <w:pStyle w:val="ListParagraph"/>
        <w:tabs>
          <w:tab w:val="left" w:pos="4650"/>
        </w:tabs>
        <w:spacing w:after="0"/>
        <w:ind w:left="1428" w:right="51"/>
        <w:contextualSpacing/>
        <w:jc w:val="both"/>
        <w:rPr>
          <w:rFonts w:ascii="Work Sans" w:hAnsi="Work Sans" w:cs="Arial"/>
          <w:sz w:val="24"/>
          <w:szCs w:val="24"/>
        </w:rPr>
      </w:pPr>
    </w:p>
    <w:p w:rsidRPr="00220EF9" w:rsidR="00340F5B" w:rsidP="007250AE" w:rsidRDefault="00340F5B" w14:paraId="79E8B051" w14:textId="582A6667">
      <w:pPr>
        <w:tabs>
          <w:tab w:val="left" w:pos="4650"/>
        </w:tabs>
        <w:spacing w:after="0"/>
        <w:ind w:left="708" w:right="51"/>
        <w:contextualSpacing/>
        <w:jc w:val="both"/>
        <w:rPr>
          <w:rFonts w:ascii="Work Sans" w:hAnsi="Work Sans" w:eastAsia="Work Sans" w:cs="Work Sans"/>
          <w:b/>
          <w:bC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8871AA" w:rsidR="008871AA">
        <w:rPr>
          <w:rFonts w:ascii="Work Sans" w:hAnsi="Work Sans" w:eastAsia="Work Sans" w:cs="Work Sans"/>
          <w:color w:val="000000" w:themeColor="text1"/>
          <w:sz w:val="24"/>
          <w:szCs w:val="24"/>
        </w:rPr>
        <w:t xml:space="preserve">La puesta en servicio de esta </w:t>
      </w:r>
      <w:r w:rsidR="008871AA">
        <w:rPr>
          <w:rFonts w:ascii="Work Sans" w:hAnsi="Work Sans" w:eastAsia="Work Sans" w:cs="Work Sans"/>
          <w:color w:val="000000" w:themeColor="text1"/>
          <w:sz w:val="24"/>
          <w:szCs w:val="24"/>
        </w:rPr>
        <w:t>obra</w:t>
      </w:r>
      <w:r w:rsidRPr="008871AA" w:rsidR="008871AA">
        <w:rPr>
          <w:rFonts w:ascii="Work Sans" w:hAnsi="Work Sans" w:eastAsia="Work Sans" w:cs="Work Sans"/>
          <w:color w:val="000000" w:themeColor="text1"/>
          <w:sz w:val="24"/>
          <w:szCs w:val="24"/>
        </w:rPr>
        <w:t xml:space="preserve"> permite mantener los niveles de tensión, tanto en </w:t>
      </w:r>
      <w:r w:rsidR="008871AA">
        <w:rPr>
          <w:rFonts w:ascii="Work Sans" w:hAnsi="Work Sans" w:eastAsia="Work Sans" w:cs="Work Sans"/>
          <w:color w:val="000000" w:themeColor="text1"/>
          <w:sz w:val="24"/>
          <w:szCs w:val="24"/>
        </w:rPr>
        <w:t>condiciones normales de operación</w:t>
      </w:r>
      <w:r w:rsidRPr="008871AA" w:rsidR="008871AA">
        <w:rPr>
          <w:rFonts w:ascii="Work Sans" w:hAnsi="Work Sans" w:eastAsia="Work Sans" w:cs="Work Sans"/>
          <w:color w:val="000000" w:themeColor="text1"/>
          <w:sz w:val="24"/>
          <w:szCs w:val="24"/>
        </w:rPr>
        <w:t xml:space="preserve"> como frente a contingencias N-1, dentro de los rangos establecidos por la normativa vigente, evitando la aparición de condiciones de sobretensión en el sistema eléctrico. Este efecto se manifiesta en el área de influencia de la obra de expansión de la subestación Nueva Magangué 500/110 kV y líneas asociadas.</w:t>
      </w:r>
    </w:p>
    <w:p w:rsidR="00340F5B" w:rsidP="007250AE" w:rsidRDefault="00340F5B" w14:paraId="6EC11C78"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340F5B" w:rsidP="007250AE" w:rsidRDefault="00340F5B" w14:paraId="016E09FB" w14:textId="3850E971">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sidRPr="00860DD4" w:rsidR="00860DD4">
        <w:rPr>
          <w:rFonts w:ascii="Work Sans" w:hAnsi="Work Sans" w:eastAsia="Work Sans" w:cs="Work Sans"/>
          <w:color w:val="000000" w:themeColor="text1"/>
          <w:sz w:val="24"/>
          <w:szCs w:val="24"/>
        </w:rPr>
        <w:t xml:space="preserve"> Los reactores de línea del corredor Chinú – Nueva Magangué – El Copey 500 kV corresponden a una ampliación técnica inherente al diseño del proyecto aprobado, necesaria para garantizar su correcta operación, por lo cual no constituyen una obra independiente, ni requieren una evaluación económica separada. En consecuencia, los costos, beneficios y la relación beneficio/costos ya</w:t>
      </w:r>
      <w:r w:rsidR="00860DD4">
        <w:rPr>
          <w:rFonts w:ascii="Work Sans" w:hAnsi="Work Sans" w:eastAsia="Work Sans" w:cs="Work Sans"/>
          <w:color w:val="000000" w:themeColor="text1"/>
          <w:sz w:val="24"/>
          <w:szCs w:val="24"/>
        </w:rPr>
        <w:t xml:space="preserve"> </w:t>
      </w:r>
      <w:r w:rsidRPr="00860DD4" w:rsidR="00860DD4">
        <w:rPr>
          <w:rFonts w:ascii="Work Sans" w:hAnsi="Work Sans" w:eastAsia="Work Sans" w:cs="Work Sans"/>
          <w:color w:val="000000" w:themeColor="text1"/>
          <w:sz w:val="24"/>
          <w:szCs w:val="24"/>
        </w:rPr>
        <w:t xml:space="preserve">estimados para la obra “Subestación Nueva Magangué 500 kV y líneas asociadas” </w:t>
      </w:r>
      <w:r w:rsidR="005F7893">
        <w:rPr>
          <w:rFonts w:ascii="Work Sans" w:hAnsi="Work Sans" w:eastAsia="Work Sans" w:cs="Work Sans"/>
          <w:color w:val="000000" w:themeColor="text1"/>
          <w:sz w:val="24"/>
          <w:szCs w:val="24"/>
        </w:rPr>
        <w:t xml:space="preserve">(4,78) </w:t>
      </w:r>
      <w:r w:rsidRPr="00860DD4" w:rsidR="00860DD4">
        <w:rPr>
          <w:rFonts w:ascii="Work Sans" w:hAnsi="Work Sans" w:eastAsia="Work Sans" w:cs="Work Sans"/>
          <w:color w:val="000000" w:themeColor="text1"/>
          <w:sz w:val="24"/>
          <w:szCs w:val="24"/>
        </w:rPr>
        <w:t>permanecen vigentes y aplicables, sin requerirse recálculo ni actualización adicional en el presente documento.</w:t>
      </w:r>
      <w:r w:rsidR="00860DD4">
        <w:rPr>
          <w:rFonts w:ascii="Work Sans" w:hAnsi="Work Sans" w:eastAsia="Work Sans" w:cs="Work Sans"/>
          <w:color w:val="000000" w:themeColor="text1"/>
          <w:sz w:val="24"/>
          <w:szCs w:val="24"/>
        </w:rPr>
        <w:t xml:space="preserve"> </w:t>
      </w:r>
    </w:p>
    <w:p w:rsidR="00340F5B" w:rsidP="007250AE" w:rsidRDefault="00340F5B" w14:paraId="7D4F2BC9" w14:textId="77777777">
      <w:pPr>
        <w:tabs>
          <w:tab w:val="left" w:pos="4650"/>
        </w:tabs>
        <w:spacing w:after="0"/>
        <w:ind w:right="51"/>
        <w:contextualSpacing/>
        <w:jc w:val="both"/>
        <w:rPr>
          <w:rFonts w:ascii="Work Sans" w:hAnsi="Work Sans" w:cs="Arial"/>
          <w:b/>
          <w:bCs/>
          <w:sz w:val="24"/>
          <w:szCs w:val="24"/>
        </w:rPr>
      </w:pPr>
    </w:p>
    <w:p w:rsidR="004C4C77" w:rsidP="718D9970" w:rsidRDefault="000B4806" w14:paraId="550A36C6" w14:textId="1017843C">
      <w:pPr>
        <w:tabs>
          <w:tab w:val="left" w:pos="4650"/>
        </w:tabs>
        <w:spacing w:after="0"/>
        <w:ind w:right="51"/>
        <w:contextualSpacing/>
        <w:jc w:val="both"/>
        <w:rPr>
          <w:rFonts w:ascii="Work Sans" w:hAnsi="Work Sans" w:cs="Arial"/>
          <w:b/>
          <w:bCs/>
          <w:sz w:val="24"/>
          <w:szCs w:val="24"/>
          <w:u w:val="single"/>
        </w:rPr>
      </w:pPr>
      <w:r w:rsidRPr="397E51D1">
        <w:rPr>
          <w:rFonts w:ascii="Work Sans" w:hAnsi="Work Sans" w:cs="Arial"/>
          <w:b/>
          <w:bCs/>
          <w:sz w:val="24"/>
          <w:szCs w:val="24"/>
          <w:u w:val="single"/>
        </w:rPr>
        <w:t>Fortalecimiento del SIN mediante Compensadores Síncronos y obras asociadas (Obra declarada como Proyectos Urgentes mediante la Resolución MME 40004 de 2026)</w:t>
      </w:r>
    </w:p>
    <w:p w:rsidR="397E51D1" w:rsidP="397E51D1" w:rsidRDefault="397E51D1" w14:paraId="3C0DB1FE" w14:textId="1E63FAA1">
      <w:pPr>
        <w:tabs>
          <w:tab w:val="left" w:pos="4650"/>
        </w:tabs>
        <w:spacing w:after="0"/>
        <w:ind w:right="51"/>
        <w:contextualSpacing/>
        <w:jc w:val="both"/>
        <w:rPr>
          <w:rFonts w:ascii="Work Sans" w:hAnsi="Work Sans" w:cs="Arial"/>
          <w:b/>
          <w:bCs/>
          <w:sz w:val="24"/>
          <w:szCs w:val="24"/>
          <w:u w:val="single"/>
        </w:rPr>
      </w:pPr>
    </w:p>
    <w:p w:rsidR="007B4E2A" w:rsidP="007250AE" w:rsidRDefault="00845518" w14:paraId="7D919C62" w14:textId="77777777">
      <w:pPr>
        <w:tabs>
          <w:tab w:val="left" w:pos="4650"/>
        </w:tabs>
        <w:spacing w:after="0"/>
        <w:ind w:left="708" w:right="51"/>
        <w:contextualSpacing/>
        <w:jc w:val="both"/>
        <w:rPr>
          <w:rFonts w:ascii="Work Sans" w:hAnsi="Work Sans" w:cs="Arial"/>
          <w:sz w:val="24"/>
          <w:szCs w:val="24"/>
        </w:rPr>
      </w:pPr>
      <w:r w:rsidRPr="397E51D1">
        <w:rPr>
          <w:rFonts w:ascii="Work Sans" w:hAnsi="Work Sans" w:cs="Arial"/>
          <w:b/>
          <w:bCs/>
          <w:sz w:val="24"/>
          <w:szCs w:val="24"/>
        </w:rPr>
        <w:t>Alcance:</w:t>
      </w:r>
      <w:r w:rsidRPr="397E51D1">
        <w:rPr>
          <w:rFonts w:ascii="Work Sans" w:hAnsi="Work Sans" w:cs="Arial"/>
          <w:sz w:val="24"/>
          <w:szCs w:val="24"/>
        </w:rPr>
        <w:t xml:space="preserve"> </w:t>
      </w:r>
      <w:r w:rsidRPr="397E51D1" w:rsidR="007B4E2A">
        <w:rPr>
          <w:rFonts w:ascii="Work Sans" w:hAnsi="Work Sans" w:cs="Arial"/>
          <w:sz w:val="24"/>
          <w:szCs w:val="24"/>
        </w:rPr>
        <w:t>La obra comprende las intervenciones descritas a continuación:</w:t>
      </w:r>
    </w:p>
    <w:p w:rsidR="397E51D1" w:rsidP="397E51D1" w:rsidRDefault="397E51D1" w14:paraId="259BA411" w14:textId="0FE009DF">
      <w:pPr>
        <w:tabs>
          <w:tab w:val="left" w:pos="4650"/>
        </w:tabs>
        <w:spacing w:after="0"/>
        <w:ind w:left="708" w:right="51"/>
        <w:contextualSpacing/>
        <w:jc w:val="both"/>
        <w:rPr>
          <w:rFonts w:ascii="Work Sans" w:hAnsi="Work Sans" w:cs="Arial"/>
          <w:sz w:val="24"/>
          <w:szCs w:val="24"/>
        </w:rPr>
      </w:pPr>
    </w:p>
    <w:p w:rsidR="009E5FF9" w:rsidP="007250AE" w:rsidRDefault="004C4C77" w14:paraId="67515D3A" w14:textId="5629568F">
      <w:pPr>
        <w:pStyle w:val="ListParagraph"/>
        <w:numPr>
          <w:ilvl w:val="0"/>
          <w:numId w:val="9"/>
        </w:numPr>
        <w:tabs>
          <w:tab w:val="left" w:pos="4650"/>
        </w:tabs>
        <w:spacing w:after="0"/>
        <w:ind w:right="51"/>
        <w:contextualSpacing/>
        <w:jc w:val="both"/>
        <w:rPr>
          <w:rFonts w:ascii="Work Sans" w:hAnsi="Work Sans" w:cs="Arial"/>
          <w:sz w:val="24"/>
          <w:szCs w:val="24"/>
        </w:rPr>
      </w:pPr>
      <w:r w:rsidRPr="007B4E2A">
        <w:rPr>
          <w:rFonts w:ascii="Work Sans" w:hAnsi="Work Sans" w:cs="Arial"/>
          <w:sz w:val="24"/>
          <w:szCs w:val="24"/>
        </w:rPr>
        <w:t xml:space="preserve">Instalación de compensadores síncronos en las subestaciones del área Caribe de acuerdo con las fases aprobadas. </w:t>
      </w:r>
    </w:p>
    <w:p w:rsidRPr="007B4E2A" w:rsidR="00D22F1C" w:rsidP="007250AE" w:rsidRDefault="00D22F1C" w14:paraId="32865646" w14:textId="77777777">
      <w:pPr>
        <w:pStyle w:val="ListParagraph"/>
        <w:tabs>
          <w:tab w:val="left" w:pos="4650"/>
        </w:tabs>
        <w:spacing w:after="0"/>
        <w:ind w:left="1428" w:right="51"/>
        <w:contextualSpacing/>
        <w:jc w:val="both"/>
        <w:rPr>
          <w:rFonts w:ascii="Work Sans" w:hAnsi="Work Sans" w:cs="Arial"/>
          <w:sz w:val="24"/>
          <w:szCs w:val="24"/>
        </w:rPr>
      </w:pPr>
    </w:p>
    <w:p w:rsidRPr="004B0407" w:rsidR="009E5FF9" w:rsidP="007250AE" w:rsidRDefault="004C4C77" w14:paraId="7F0DFE92" w14:textId="02AAFF0C">
      <w:pPr>
        <w:pStyle w:val="ListParagraph"/>
        <w:numPr>
          <w:ilvl w:val="0"/>
          <w:numId w:val="8"/>
        </w:numPr>
        <w:tabs>
          <w:tab w:val="left" w:pos="4650"/>
        </w:tabs>
        <w:spacing w:after="0"/>
        <w:ind w:right="51"/>
        <w:contextualSpacing/>
        <w:jc w:val="both"/>
        <w:rPr>
          <w:rFonts w:ascii="Work Sans" w:hAnsi="Work Sans" w:cs="Arial"/>
          <w:sz w:val="24"/>
          <w:szCs w:val="24"/>
        </w:rPr>
      </w:pPr>
      <w:r w:rsidRPr="00C41788">
        <w:rPr>
          <w:rFonts w:ascii="Work Sans" w:hAnsi="Work Sans" w:cs="Arial"/>
          <w:b/>
          <w:bCs/>
          <w:sz w:val="24"/>
          <w:szCs w:val="24"/>
        </w:rPr>
        <w:t>Fase A:</w:t>
      </w:r>
      <w:r w:rsidRPr="004B0407">
        <w:rPr>
          <w:rFonts w:ascii="Work Sans" w:hAnsi="Work Sans" w:cs="Arial"/>
          <w:sz w:val="24"/>
          <w:szCs w:val="24"/>
        </w:rPr>
        <w:t xml:space="preserve"> </w:t>
      </w:r>
      <w:proofErr w:type="spellStart"/>
      <w:r w:rsidRPr="004B0407">
        <w:rPr>
          <w:rFonts w:ascii="Work Sans" w:hAnsi="Work Sans" w:cs="Arial"/>
          <w:sz w:val="24"/>
          <w:szCs w:val="24"/>
        </w:rPr>
        <w:t>Nv</w:t>
      </w:r>
      <w:proofErr w:type="spellEnd"/>
      <w:r w:rsidRPr="004B0407">
        <w:rPr>
          <w:rFonts w:ascii="Work Sans" w:hAnsi="Work Sans" w:cs="Arial"/>
          <w:sz w:val="24"/>
          <w:szCs w:val="24"/>
        </w:rPr>
        <w:t xml:space="preserve"> Barranquilla 220 kV</w:t>
      </w:r>
      <w:r w:rsidR="00FD3D85">
        <w:rPr>
          <w:rFonts w:ascii="Work Sans" w:hAnsi="Work Sans" w:cs="Arial"/>
          <w:sz w:val="24"/>
          <w:szCs w:val="24"/>
        </w:rPr>
        <w:t xml:space="preserve"> (150 </w:t>
      </w:r>
      <w:proofErr w:type="spellStart"/>
      <w:r w:rsidR="00FD3D85">
        <w:rPr>
          <w:rFonts w:ascii="Work Sans" w:hAnsi="Work Sans" w:cs="Arial"/>
          <w:sz w:val="24"/>
          <w:szCs w:val="24"/>
        </w:rPr>
        <w:t>MVAr</w:t>
      </w:r>
      <w:proofErr w:type="spellEnd"/>
      <w:r w:rsidR="00FD3D85">
        <w:rPr>
          <w:rFonts w:ascii="Work Sans" w:hAnsi="Work Sans" w:cs="Arial"/>
          <w:sz w:val="24"/>
          <w:szCs w:val="24"/>
        </w:rPr>
        <w:t>)</w:t>
      </w:r>
      <w:r w:rsidRPr="004B0407">
        <w:rPr>
          <w:rFonts w:ascii="Work Sans" w:hAnsi="Work Sans" w:cs="Arial"/>
          <w:sz w:val="24"/>
          <w:szCs w:val="24"/>
        </w:rPr>
        <w:t>, Sabanalarga 500 kV</w:t>
      </w:r>
      <w:r w:rsidR="00C10879">
        <w:rPr>
          <w:rFonts w:ascii="Work Sans" w:hAnsi="Work Sans" w:cs="Arial"/>
          <w:sz w:val="24"/>
          <w:szCs w:val="24"/>
        </w:rPr>
        <w:t xml:space="preserve"> (</w:t>
      </w:r>
      <w:r w:rsidR="00043C90">
        <w:rPr>
          <w:rFonts w:ascii="Work Sans" w:hAnsi="Work Sans" w:cs="Arial"/>
          <w:sz w:val="24"/>
          <w:szCs w:val="24"/>
        </w:rPr>
        <w:t xml:space="preserve">150 </w:t>
      </w:r>
      <w:proofErr w:type="spellStart"/>
      <w:r w:rsidR="00043C90">
        <w:rPr>
          <w:rFonts w:ascii="Work Sans" w:hAnsi="Work Sans" w:cs="Arial"/>
          <w:sz w:val="24"/>
          <w:szCs w:val="24"/>
        </w:rPr>
        <w:t>MVAr</w:t>
      </w:r>
      <w:proofErr w:type="spellEnd"/>
      <w:r w:rsidR="00C10879">
        <w:rPr>
          <w:rFonts w:ascii="Work Sans" w:hAnsi="Work Sans" w:cs="Arial"/>
          <w:sz w:val="24"/>
          <w:szCs w:val="24"/>
        </w:rPr>
        <w:t>)</w:t>
      </w:r>
      <w:r w:rsidRPr="004B0407">
        <w:rPr>
          <w:rFonts w:ascii="Work Sans" w:hAnsi="Work Sans" w:cs="Arial"/>
          <w:sz w:val="24"/>
          <w:szCs w:val="24"/>
        </w:rPr>
        <w:t>, Cuestecitas 500 kV</w:t>
      </w:r>
      <w:r w:rsidR="00043C90">
        <w:rPr>
          <w:rFonts w:ascii="Work Sans" w:hAnsi="Work Sans" w:cs="Arial"/>
          <w:sz w:val="24"/>
          <w:szCs w:val="24"/>
        </w:rPr>
        <w:t xml:space="preserve"> (300 </w:t>
      </w:r>
      <w:proofErr w:type="spellStart"/>
      <w:r w:rsidR="00043C90">
        <w:rPr>
          <w:rFonts w:ascii="Work Sans" w:hAnsi="Work Sans" w:cs="Arial"/>
          <w:sz w:val="24"/>
          <w:szCs w:val="24"/>
        </w:rPr>
        <w:t>MVAr</w:t>
      </w:r>
      <w:proofErr w:type="spellEnd"/>
      <w:r w:rsidR="00043C90">
        <w:rPr>
          <w:rFonts w:ascii="Work Sans" w:hAnsi="Work Sans" w:cs="Arial"/>
          <w:sz w:val="24"/>
          <w:szCs w:val="24"/>
        </w:rPr>
        <w:t>)</w:t>
      </w:r>
      <w:r w:rsidRPr="004B0407">
        <w:rPr>
          <w:rFonts w:ascii="Work Sans" w:hAnsi="Work Sans" w:cs="Arial"/>
          <w:sz w:val="24"/>
          <w:szCs w:val="24"/>
        </w:rPr>
        <w:t xml:space="preserve">, Colectora </w:t>
      </w:r>
      <w:r w:rsidRPr="004B0407">
        <w:rPr>
          <w:rFonts w:ascii="Work Sans" w:hAnsi="Work Sans" w:cs="Arial"/>
          <w:sz w:val="24"/>
          <w:szCs w:val="24"/>
        </w:rPr>
        <w:lastRenderedPageBreak/>
        <w:t>500 kV</w:t>
      </w:r>
      <w:r w:rsidR="00043C90">
        <w:rPr>
          <w:rFonts w:ascii="Work Sans" w:hAnsi="Work Sans" w:cs="Arial"/>
          <w:sz w:val="24"/>
          <w:szCs w:val="24"/>
        </w:rPr>
        <w:t xml:space="preserve"> (300 </w:t>
      </w:r>
      <w:proofErr w:type="spellStart"/>
      <w:r w:rsidR="00043C90">
        <w:rPr>
          <w:rFonts w:ascii="Work Sans" w:hAnsi="Work Sans" w:cs="Arial"/>
          <w:sz w:val="24"/>
          <w:szCs w:val="24"/>
        </w:rPr>
        <w:t>MVAr</w:t>
      </w:r>
      <w:proofErr w:type="spellEnd"/>
      <w:r w:rsidR="00043C90">
        <w:rPr>
          <w:rFonts w:ascii="Work Sans" w:hAnsi="Work Sans" w:cs="Arial"/>
          <w:sz w:val="24"/>
          <w:szCs w:val="24"/>
        </w:rPr>
        <w:t>)</w:t>
      </w:r>
      <w:r w:rsidRPr="004B0407">
        <w:rPr>
          <w:rFonts w:ascii="Work Sans" w:hAnsi="Work Sans" w:cs="Arial"/>
          <w:sz w:val="24"/>
          <w:szCs w:val="24"/>
        </w:rPr>
        <w:t>, Carreto 500 kV</w:t>
      </w:r>
      <w:r w:rsidR="003C4B57">
        <w:rPr>
          <w:rFonts w:ascii="Work Sans" w:hAnsi="Work Sans" w:cs="Arial"/>
          <w:sz w:val="24"/>
          <w:szCs w:val="24"/>
        </w:rPr>
        <w:t xml:space="preserve"> (300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xml:space="preserve">, Chinú 500 kV </w:t>
      </w:r>
      <w:r w:rsidR="003C4B57">
        <w:rPr>
          <w:rFonts w:ascii="Work Sans" w:hAnsi="Work Sans" w:cs="Arial"/>
          <w:sz w:val="24"/>
          <w:szCs w:val="24"/>
        </w:rPr>
        <w:t xml:space="preserve">(150 </w:t>
      </w:r>
      <w:proofErr w:type="spellStart"/>
      <w:r w:rsidR="003C4B57">
        <w:rPr>
          <w:rFonts w:ascii="Work Sans" w:hAnsi="Work Sans" w:cs="Arial"/>
          <w:sz w:val="24"/>
          <w:szCs w:val="24"/>
        </w:rPr>
        <w:t>MVAr</w:t>
      </w:r>
      <w:proofErr w:type="spellEnd"/>
      <w:r w:rsidR="003C4B57">
        <w:rPr>
          <w:rFonts w:ascii="Work Sans" w:hAnsi="Work Sans" w:cs="Arial"/>
          <w:sz w:val="24"/>
          <w:szCs w:val="24"/>
        </w:rPr>
        <w:t xml:space="preserve">) </w:t>
      </w:r>
      <w:r w:rsidRPr="004B0407">
        <w:rPr>
          <w:rFonts w:ascii="Work Sans" w:hAnsi="Work Sans" w:cs="Arial"/>
          <w:sz w:val="24"/>
          <w:szCs w:val="24"/>
        </w:rPr>
        <w:t>y Toluviejo 220 kV</w:t>
      </w:r>
      <w:r w:rsidR="003C4B57">
        <w:rPr>
          <w:rFonts w:ascii="Work Sans" w:hAnsi="Work Sans" w:cs="Arial"/>
          <w:sz w:val="24"/>
          <w:szCs w:val="24"/>
        </w:rPr>
        <w:t xml:space="preserve"> (150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w:t>
      </w:r>
    </w:p>
    <w:p w:rsidRPr="004B0407" w:rsidR="009E5FF9" w:rsidP="007250AE" w:rsidRDefault="004C4C77" w14:paraId="17083354" w14:textId="4050DDAB">
      <w:pPr>
        <w:pStyle w:val="ListParagraph"/>
        <w:numPr>
          <w:ilvl w:val="0"/>
          <w:numId w:val="8"/>
        </w:numPr>
        <w:tabs>
          <w:tab w:val="left" w:pos="4650"/>
        </w:tabs>
        <w:spacing w:after="0"/>
        <w:ind w:right="51"/>
        <w:contextualSpacing/>
        <w:jc w:val="both"/>
        <w:rPr>
          <w:rFonts w:ascii="Work Sans" w:hAnsi="Work Sans" w:cs="Arial"/>
          <w:sz w:val="24"/>
          <w:szCs w:val="24"/>
        </w:rPr>
      </w:pPr>
      <w:r w:rsidRPr="00C41788">
        <w:rPr>
          <w:rFonts w:ascii="Work Sans" w:hAnsi="Work Sans" w:cs="Arial"/>
          <w:b/>
          <w:bCs/>
          <w:sz w:val="24"/>
          <w:szCs w:val="24"/>
        </w:rPr>
        <w:t>Fase B:</w:t>
      </w:r>
      <w:r w:rsidRPr="004B0407">
        <w:rPr>
          <w:rFonts w:ascii="Work Sans" w:hAnsi="Work Sans" w:cs="Arial"/>
          <w:sz w:val="24"/>
          <w:szCs w:val="24"/>
        </w:rPr>
        <w:t xml:space="preserve"> Caracolí 110 kV</w:t>
      </w:r>
      <w:r w:rsidR="003C4B57">
        <w:rPr>
          <w:rFonts w:ascii="Work Sans" w:hAnsi="Work Sans" w:cs="Arial"/>
          <w:sz w:val="24"/>
          <w:szCs w:val="24"/>
        </w:rPr>
        <w:t xml:space="preserve"> (50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xml:space="preserve">, </w:t>
      </w:r>
      <w:proofErr w:type="spellStart"/>
      <w:r w:rsidRPr="004B0407">
        <w:rPr>
          <w:rFonts w:ascii="Work Sans" w:hAnsi="Work Sans" w:cs="Arial"/>
          <w:sz w:val="24"/>
          <w:szCs w:val="24"/>
        </w:rPr>
        <w:t>Tebsa</w:t>
      </w:r>
      <w:proofErr w:type="spellEnd"/>
      <w:r w:rsidRPr="004B0407">
        <w:rPr>
          <w:rFonts w:ascii="Work Sans" w:hAnsi="Work Sans" w:cs="Arial"/>
          <w:sz w:val="24"/>
          <w:szCs w:val="24"/>
        </w:rPr>
        <w:t xml:space="preserve"> 220 kV</w:t>
      </w:r>
      <w:r w:rsidR="003C4B57">
        <w:rPr>
          <w:rFonts w:ascii="Work Sans" w:hAnsi="Work Sans" w:cs="Arial"/>
          <w:sz w:val="24"/>
          <w:szCs w:val="24"/>
        </w:rPr>
        <w:t xml:space="preserve"> (150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Malambo 110 kV</w:t>
      </w:r>
      <w:r w:rsidR="003C4B57">
        <w:rPr>
          <w:rFonts w:ascii="Work Sans" w:hAnsi="Work Sans" w:cs="Arial"/>
          <w:sz w:val="24"/>
          <w:szCs w:val="24"/>
        </w:rPr>
        <w:t xml:space="preserve"> (50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Bolívar 220 kV</w:t>
      </w:r>
      <w:r w:rsidR="003C4B57">
        <w:rPr>
          <w:rFonts w:ascii="Work Sans" w:hAnsi="Work Sans" w:cs="Arial"/>
          <w:sz w:val="24"/>
          <w:szCs w:val="24"/>
        </w:rPr>
        <w:t xml:space="preserve"> (300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Sahagún 500 kV</w:t>
      </w:r>
      <w:r w:rsidR="003C4B57">
        <w:rPr>
          <w:rFonts w:ascii="Work Sans" w:hAnsi="Work Sans" w:cs="Arial"/>
          <w:sz w:val="24"/>
          <w:szCs w:val="24"/>
        </w:rPr>
        <w:t xml:space="preserve"> (300 </w:t>
      </w:r>
      <w:proofErr w:type="spellStart"/>
      <w:r w:rsidR="003C4B57">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Copey 220 kV</w:t>
      </w:r>
      <w:r w:rsidR="003C4B57">
        <w:rPr>
          <w:rFonts w:ascii="Work Sans" w:hAnsi="Work Sans" w:cs="Arial"/>
          <w:sz w:val="24"/>
          <w:szCs w:val="24"/>
        </w:rPr>
        <w:t xml:space="preserve"> (</w:t>
      </w:r>
      <w:r w:rsidR="00216D8D">
        <w:rPr>
          <w:rFonts w:ascii="Work Sans" w:hAnsi="Work Sans" w:cs="Arial"/>
          <w:sz w:val="24"/>
          <w:szCs w:val="24"/>
        </w:rPr>
        <w:t xml:space="preserve">150 </w:t>
      </w:r>
      <w:proofErr w:type="spellStart"/>
      <w:r w:rsidR="00216D8D">
        <w:rPr>
          <w:rFonts w:ascii="Work Sans" w:hAnsi="Work Sans" w:cs="Arial"/>
          <w:sz w:val="24"/>
          <w:szCs w:val="24"/>
        </w:rPr>
        <w:t>MVAr</w:t>
      </w:r>
      <w:proofErr w:type="spellEnd"/>
      <w:r w:rsidR="003C4B57">
        <w:rPr>
          <w:rFonts w:ascii="Work Sans" w:hAnsi="Work Sans" w:cs="Arial"/>
          <w:sz w:val="24"/>
          <w:szCs w:val="24"/>
        </w:rPr>
        <w:t>)</w:t>
      </w:r>
      <w:r w:rsidRPr="004B0407">
        <w:rPr>
          <w:rFonts w:ascii="Work Sans" w:hAnsi="Work Sans" w:cs="Arial"/>
          <w:sz w:val="24"/>
          <w:szCs w:val="24"/>
        </w:rPr>
        <w:t>, Cuestecitas 220 kV</w:t>
      </w:r>
      <w:r w:rsidR="00216D8D">
        <w:rPr>
          <w:rFonts w:ascii="Work Sans" w:hAnsi="Work Sans" w:cs="Arial"/>
          <w:sz w:val="24"/>
          <w:szCs w:val="24"/>
        </w:rPr>
        <w:t xml:space="preserve"> (300 </w:t>
      </w:r>
      <w:proofErr w:type="spellStart"/>
      <w:r w:rsidR="00216D8D">
        <w:rPr>
          <w:rFonts w:ascii="Work Sans" w:hAnsi="Work Sans" w:cs="Arial"/>
          <w:sz w:val="24"/>
          <w:szCs w:val="24"/>
        </w:rPr>
        <w:t>MVAr</w:t>
      </w:r>
      <w:proofErr w:type="spellEnd"/>
      <w:r w:rsidR="00216D8D">
        <w:rPr>
          <w:rFonts w:ascii="Work Sans" w:hAnsi="Work Sans" w:cs="Arial"/>
          <w:sz w:val="24"/>
          <w:szCs w:val="24"/>
        </w:rPr>
        <w:t>)</w:t>
      </w:r>
      <w:r w:rsidRPr="004B0407">
        <w:rPr>
          <w:rFonts w:ascii="Work Sans" w:hAnsi="Work Sans" w:cs="Arial"/>
          <w:sz w:val="24"/>
          <w:szCs w:val="24"/>
        </w:rPr>
        <w:t>, Valledupar 220 kV</w:t>
      </w:r>
      <w:r w:rsidR="00216D8D">
        <w:rPr>
          <w:rFonts w:ascii="Work Sans" w:hAnsi="Work Sans" w:cs="Arial"/>
          <w:sz w:val="24"/>
          <w:szCs w:val="24"/>
        </w:rPr>
        <w:t xml:space="preserve"> (150 </w:t>
      </w:r>
      <w:proofErr w:type="spellStart"/>
      <w:r w:rsidR="00216D8D">
        <w:rPr>
          <w:rFonts w:ascii="Work Sans" w:hAnsi="Work Sans" w:cs="Arial"/>
          <w:sz w:val="24"/>
          <w:szCs w:val="24"/>
        </w:rPr>
        <w:t>MVAr</w:t>
      </w:r>
      <w:proofErr w:type="spellEnd"/>
      <w:r w:rsidR="00216D8D">
        <w:rPr>
          <w:rFonts w:ascii="Work Sans" w:hAnsi="Work Sans" w:cs="Arial"/>
          <w:sz w:val="24"/>
          <w:szCs w:val="24"/>
        </w:rPr>
        <w:t>)</w:t>
      </w:r>
      <w:r w:rsidRPr="004B0407">
        <w:rPr>
          <w:rFonts w:ascii="Work Sans" w:hAnsi="Work Sans" w:cs="Arial"/>
          <w:sz w:val="24"/>
          <w:szCs w:val="24"/>
        </w:rPr>
        <w:t>.</w:t>
      </w:r>
    </w:p>
    <w:p w:rsidR="007B4E2A" w:rsidP="007250AE" w:rsidRDefault="007B4E2A" w14:paraId="79FAF4D3" w14:textId="77777777">
      <w:pPr>
        <w:pStyle w:val="ListParagraph"/>
        <w:tabs>
          <w:tab w:val="left" w:pos="4650"/>
        </w:tabs>
        <w:spacing w:after="0"/>
        <w:ind w:left="1068" w:right="51"/>
        <w:contextualSpacing/>
        <w:jc w:val="both"/>
        <w:rPr>
          <w:rFonts w:ascii="Work Sans" w:hAnsi="Work Sans" w:cs="Arial"/>
          <w:sz w:val="24"/>
          <w:szCs w:val="24"/>
        </w:rPr>
      </w:pPr>
    </w:p>
    <w:p w:rsidRPr="007B4E2A" w:rsidR="00845518" w:rsidP="12AE42D8" w:rsidRDefault="004C4C77" w14:paraId="48D6A9D5" w14:textId="5521C1C5">
      <w:pPr>
        <w:pStyle w:val="ListParagraph"/>
        <w:numPr>
          <w:ilvl w:val="0"/>
          <w:numId w:val="4"/>
        </w:numPr>
        <w:tabs>
          <w:tab w:val="left" w:pos="4650"/>
        </w:tabs>
        <w:spacing w:after="0"/>
        <w:ind w:left="1418" w:right="51"/>
        <w:contextualSpacing w:val="1"/>
        <w:jc w:val="both"/>
        <w:rPr>
          <w:rFonts w:ascii="Work Sans" w:hAnsi="Work Sans" w:cs="Arial"/>
          <w:sz w:val="24"/>
          <w:szCs w:val="24"/>
        </w:rPr>
      </w:pPr>
      <w:r w:rsidRPr="12AE42D8" w:rsidR="004C4C77">
        <w:rPr>
          <w:rFonts w:ascii="Work Sans" w:hAnsi="Work Sans" w:cs="Arial"/>
          <w:sz w:val="24"/>
          <w:szCs w:val="24"/>
        </w:rPr>
        <w:t xml:space="preserve">Adicionalmente, se considera la instalación de reactores de barra </w:t>
      </w:r>
      <w:r w:rsidRPr="12AE42D8" w:rsidR="63C43A6C">
        <w:rPr>
          <w:rFonts w:ascii="Work Sans" w:hAnsi="Work Sans" w:cs="Arial"/>
          <w:sz w:val="24"/>
          <w:szCs w:val="24"/>
        </w:rPr>
        <w:t xml:space="preserve">de </w:t>
      </w:r>
      <w:r w:rsidRPr="12AE42D8" w:rsidR="63C43A6C">
        <w:rPr>
          <w:rFonts w:ascii="Work Sans" w:hAnsi="Work Sans" w:cs="Arial"/>
          <w:sz w:val="24"/>
          <w:szCs w:val="24"/>
          <w:highlight w:val="yellow"/>
        </w:rPr>
        <w:t xml:space="preserve">120 </w:t>
      </w:r>
      <w:r w:rsidRPr="12AE42D8" w:rsidR="63C43A6C">
        <w:rPr>
          <w:rFonts w:ascii="Work Sans" w:hAnsi="Work Sans" w:cs="Arial"/>
          <w:sz w:val="24"/>
          <w:szCs w:val="24"/>
          <w:highlight w:val="yellow"/>
        </w:rPr>
        <w:t>MVAr</w:t>
      </w:r>
      <w:r w:rsidRPr="12AE42D8" w:rsidR="63C43A6C">
        <w:rPr>
          <w:rFonts w:ascii="Work Sans" w:hAnsi="Work Sans" w:cs="Arial"/>
          <w:sz w:val="24"/>
          <w:szCs w:val="24"/>
          <w:highlight w:val="yellow"/>
        </w:rPr>
        <w:t xml:space="preserve"> cada uno</w:t>
      </w:r>
      <w:r w:rsidRPr="12AE42D8" w:rsidR="63C43A6C">
        <w:rPr>
          <w:rFonts w:ascii="Work Sans" w:hAnsi="Work Sans" w:cs="Arial"/>
          <w:sz w:val="24"/>
          <w:szCs w:val="24"/>
        </w:rPr>
        <w:t xml:space="preserve"> </w:t>
      </w:r>
      <w:r w:rsidRPr="12AE42D8" w:rsidR="004C4C77">
        <w:rPr>
          <w:rFonts w:ascii="Work Sans" w:hAnsi="Work Sans" w:cs="Arial"/>
          <w:sz w:val="24"/>
          <w:szCs w:val="24"/>
        </w:rPr>
        <w:t>en las subestaciones Colectora</w:t>
      </w:r>
      <w:r w:rsidRPr="12AE42D8" w:rsidR="0C4CDA73">
        <w:rPr>
          <w:rFonts w:ascii="Work Sans" w:hAnsi="Work Sans" w:cs="Arial"/>
          <w:sz w:val="24"/>
          <w:szCs w:val="24"/>
        </w:rPr>
        <w:t xml:space="preserve"> </w:t>
      </w:r>
      <w:r w:rsidRPr="12AE42D8" w:rsidR="0C4CDA73">
        <w:rPr>
          <w:rFonts w:ascii="Work Sans" w:hAnsi="Work Sans" w:cs="Arial"/>
          <w:sz w:val="24"/>
          <w:szCs w:val="24"/>
          <w:highlight w:val="yellow"/>
        </w:rPr>
        <w:t>500 kV</w:t>
      </w:r>
      <w:r w:rsidRPr="12AE42D8" w:rsidR="004C4C77">
        <w:rPr>
          <w:rFonts w:ascii="Work Sans" w:hAnsi="Work Sans" w:cs="Arial"/>
          <w:sz w:val="24"/>
          <w:szCs w:val="24"/>
        </w:rPr>
        <w:t xml:space="preserve"> y Cuestecitas 500 kV</w:t>
      </w:r>
      <w:r w:rsidRPr="12AE42D8" w:rsidR="79BD245A">
        <w:rPr>
          <w:rFonts w:ascii="Work Sans" w:hAnsi="Work Sans" w:cs="Arial"/>
          <w:sz w:val="24"/>
          <w:szCs w:val="24"/>
        </w:rPr>
        <w:t>.</w:t>
      </w:r>
    </w:p>
    <w:p w:rsidR="397E51D1" w:rsidP="397E51D1" w:rsidRDefault="397E51D1" w14:paraId="1C43B4D4" w14:textId="4E96B2D1">
      <w:pPr>
        <w:pStyle w:val="ListParagraph"/>
        <w:tabs>
          <w:tab w:val="left" w:pos="4650"/>
        </w:tabs>
        <w:spacing w:after="0"/>
        <w:ind w:left="1418" w:right="51"/>
        <w:contextualSpacing/>
        <w:jc w:val="both"/>
        <w:rPr>
          <w:rFonts w:ascii="Work Sans" w:hAnsi="Work Sans" w:cs="Arial"/>
          <w:sz w:val="24"/>
          <w:szCs w:val="24"/>
        </w:rPr>
      </w:pPr>
    </w:p>
    <w:p w:rsidRPr="00400AE9" w:rsidR="00400AE9" w:rsidP="007250AE" w:rsidRDefault="00845518" w14:paraId="5D03353E" w14:textId="2EA5D571">
      <w:pPr>
        <w:tabs>
          <w:tab w:val="left" w:pos="4650"/>
        </w:tabs>
        <w:spacing w:after="0"/>
        <w:ind w:left="708" w:right="51"/>
        <w:contextualSpacing/>
        <w:jc w:val="both"/>
        <w:rPr>
          <w:rFonts w:ascii="Work Sans" w:hAnsi="Work Sans" w:eastAsia="Work Sans" w:cs="Work San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400AE9" w:rsidR="00400AE9">
        <w:rPr>
          <w:rFonts w:ascii="Work Sans" w:hAnsi="Work Sans" w:eastAsia="Work Sans" w:cs="Work Sans"/>
          <w:color w:val="000000" w:themeColor="text1"/>
          <w:sz w:val="24"/>
          <w:szCs w:val="24"/>
        </w:rPr>
        <w:t xml:space="preserve">La ejecución de la obra genera beneficios operativos al fortalecer la red, mediante el aumento de la potencia de cortocircuito efectiva, la estabilización del perfil de tensión a través de un control dinámico y continuo de potencia reactiva </w:t>
      </w:r>
      <w:r w:rsidR="008F65F4">
        <w:rPr>
          <w:rFonts w:ascii="Work Sans" w:hAnsi="Work Sans" w:eastAsia="Work Sans" w:cs="Work Sans"/>
          <w:color w:val="000000" w:themeColor="text1"/>
          <w:sz w:val="24"/>
          <w:szCs w:val="24"/>
        </w:rPr>
        <w:t>(</w:t>
      </w:r>
      <w:r w:rsidRPr="00400AE9" w:rsidR="00400AE9">
        <w:rPr>
          <w:rFonts w:ascii="Work Sans" w:hAnsi="Work Sans" w:eastAsia="Work Sans" w:cs="Work Sans"/>
          <w:color w:val="000000" w:themeColor="text1"/>
          <w:sz w:val="24"/>
          <w:szCs w:val="24"/>
        </w:rPr>
        <w:t>tanto en absorción como en generación</w:t>
      </w:r>
      <w:r w:rsidR="008F65F4">
        <w:rPr>
          <w:rFonts w:ascii="Work Sans" w:hAnsi="Work Sans" w:eastAsia="Work Sans" w:cs="Work Sans"/>
          <w:color w:val="000000" w:themeColor="text1"/>
          <w:sz w:val="24"/>
          <w:szCs w:val="24"/>
        </w:rPr>
        <w:t>)</w:t>
      </w:r>
      <w:r w:rsidRPr="00400AE9" w:rsidR="00400AE9">
        <w:rPr>
          <w:rFonts w:ascii="Work Sans" w:hAnsi="Work Sans" w:eastAsia="Work Sans" w:cs="Work Sans"/>
          <w:color w:val="000000" w:themeColor="text1"/>
          <w:sz w:val="24"/>
          <w:szCs w:val="24"/>
        </w:rPr>
        <w:t xml:space="preserve"> y la mejora de la respuesta del sistema frente a perturbaciones. Lo anterior reduce el riesgo de colapso de tensión y la aparición de oscilaciones, particularmente en escenarios caracterizados por alta penetración de recursos basados en inversores (</w:t>
      </w:r>
      <w:proofErr w:type="spellStart"/>
      <w:r w:rsidRPr="00400AE9" w:rsidR="00400AE9">
        <w:rPr>
          <w:rFonts w:ascii="Work Sans" w:hAnsi="Work Sans" w:eastAsia="Work Sans" w:cs="Work Sans"/>
          <w:color w:val="000000" w:themeColor="text1"/>
          <w:sz w:val="24"/>
          <w:szCs w:val="24"/>
        </w:rPr>
        <w:t>IBRs</w:t>
      </w:r>
      <w:proofErr w:type="spellEnd"/>
      <w:r w:rsidRPr="00400AE9" w:rsidR="00400AE9">
        <w:rPr>
          <w:rFonts w:ascii="Work Sans" w:hAnsi="Work Sans" w:eastAsia="Work Sans" w:cs="Work Sans"/>
          <w:color w:val="000000" w:themeColor="text1"/>
          <w:sz w:val="24"/>
          <w:szCs w:val="24"/>
        </w:rPr>
        <w:t>).</w:t>
      </w:r>
    </w:p>
    <w:p w:rsidRPr="00400AE9" w:rsidR="00400AE9" w:rsidP="007250AE" w:rsidRDefault="00400AE9" w14:paraId="5F1E855B"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00845518" w:rsidP="007250AE" w:rsidRDefault="00400AE9" w14:paraId="79A0DEAD" w14:textId="2AFA2E76">
      <w:pPr>
        <w:tabs>
          <w:tab w:val="left" w:pos="4650"/>
        </w:tabs>
        <w:spacing w:after="0"/>
        <w:ind w:left="708" w:right="51"/>
        <w:contextualSpacing/>
        <w:jc w:val="both"/>
        <w:rPr>
          <w:rFonts w:ascii="Work Sans" w:hAnsi="Work Sans" w:eastAsia="Work Sans" w:cs="Work Sans"/>
          <w:color w:val="000000" w:themeColor="text1"/>
          <w:sz w:val="24"/>
          <w:szCs w:val="24"/>
        </w:rPr>
      </w:pPr>
      <w:r w:rsidRPr="00400AE9">
        <w:rPr>
          <w:rFonts w:ascii="Work Sans" w:hAnsi="Work Sans" w:eastAsia="Work Sans" w:cs="Work Sans"/>
          <w:color w:val="000000" w:themeColor="text1"/>
          <w:sz w:val="24"/>
          <w:szCs w:val="24"/>
        </w:rPr>
        <w:t>Asimismo, al ampliar los márgenes de seguridad N-1 y reforzar la capacidad de soporte de tensión en nodos críticos del STN y el STR, se disminuye la necesidad de “generación de seguridad”, entendida como aquellas unidades que deben operar por requerimientos de voltaje, potencia reactiva o fortaleza de red y no por mérito económico. Esta reducción del despacho forzado y de las restricciones operativas se traduce en menores costos sistémicos, mayor eficiencia en la operación y una mayor habilitación de nueva capacidad renovable, sin afectar criterios de seguridad y calidad del suministro en el SIN.</w:t>
      </w:r>
    </w:p>
    <w:p w:rsidR="00400AE9" w:rsidP="007250AE" w:rsidRDefault="00400AE9" w14:paraId="75FECF37"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00283C27" w:rsidP="007250AE" w:rsidRDefault="00845518" w14:paraId="59785496" w14:textId="7F2115BA">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w:t>
      </w:r>
      <w:r w:rsidR="00283C27">
        <w:rPr>
          <w:rFonts w:ascii="Work Sans" w:hAnsi="Work Sans" w:eastAsia="Work Sans" w:cs="Work Sans"/>
          <w:color w:val="000000" w:themeColor="text1"/>
          <w:sz w:val="24"/>
          <w:szCs w:val="24"/>
        </w:rPr>
        <w:t xml:space="preserve">se realiza </w:t>
      </w:r>
      <w:r w:rsidR="001430A0">
        <w:rPr>
          <w:rFonts w:ascii="Work Sans" w:hAnsi="Work Sans" w:eastAsia="Work Sans" w:cs="Work Sans"/>
          <w:color w:val="000000" w:themeColor="text1"/>
          <w:sz w:val="24"/>
          <w:szCs w:val="24"/>
        </w:rPr>
        <w:t xml:space="preserve">el </w:t>
      </w:r>
      <w:proofErr w:type="spellStart"/>
      <w:r w:rsidR="001430A0">
        <w:rPr>
          <w:rFonts w:ascii="Work Sans" w:hAnsi="Work Sans" w:eastAsia="Work Sans" w:cs="Work Sans"/>
          <w:color w:val="000000" w:themeColor="text1"/>
          <w:sz w:val="24"/>
          <w:szCs w:val="24"/>
        </w:rPr>
        <w:lastRenderedPageBreak/>
        <w:t>calculo</w:t>
      </w:r>
      <w:proofErr w:type="spellEnd"/>
      <w:r w:rsidR="001430A0">
        <w:rPr>
          <w:rFonts w:ascii="Work Sans" w:hAnsi="Work Sans" w:eastAsia="Work Sans" w:cs="Work Sans"/>
          <w:color w:val="000000" w:themeColor="text1"/>
          <w:sz w:val="24"/>
          <w:szCs w:val="24"/>
        </w:rPr>
        <w:t xml:space="preserve"> del </w:t>
      </w:r>
      <w:r w:rsidRPr="001430A0" w:rsidR="001430A0">
        <w:rPr>
          <w:rFonts w:ascii="Work Sans" w:hAnsi="Work Sans" w:eastAsia="Work Sans" w:cs="Work Sans"/>
          <w:color w:val="000000" w:themeColor="text1"/>
          <w:sz w:val="24"/>
          <w:szCs w:val="24"/>
        </w:rPr>
        <w:t>beneficio/costo</w:t>
      </w:r>
      <w:r w:rsidR="001430A0">
        <w:rPr>
          <w:rFonts w:ascii="Work Sans" w:hAnsi="Work Sans" w:eastAsia="Work Sans" w:cs="Work Sans"/>
          <w:color w:val="000000" w:themeColor="text1"/>
          <w:sz w:val="24"/>
          <w:szCs w:val="24"/>
        </w:rPr>
        <w:t xml:space="preserve"> para distintos escenarios hidrológicos, obteniendo </w:t>
      </w:r>
      <w:r w:rsidR="00947CA4">
        <w:rPr>
          <w:rFonts w:ascii="Work Sans" w:hAnsi="Work Sans" w:eastAsia="Work Sans" w:cs="Work Sans"/>
          <w:color w:val="000000" w:themeColor="text1"/>
          <w:sz w:val="24"/>
          <w:szCs w:val="24"/>
        </w:rPr>
        <w:t>así</w:t>
      </w:r>
      <w:r w:rsidR="001430A0">
        <w:rPr>
          <w:rFonts w:ascii="Work Sans" w:hAnsi="Work Sans" w:eastAsia="Work Sans" w:cs="Work Sans"/>
          <w:color w:val="000000" w:themeColor="text1"/>
          <w:sz w:val="24"/>
          <w:szCs w:val="24"/>
        </w:rPr>
        <w:t xml:space="preserve"> </w:t>
      </w:r>
      <w:r w:rsidR="00734C43">
        <w:rPr>
          <w:rFonts w:ascii="Work Sans" w:hAnsi="Work Sans" w:eastAsia="Work Sans" w:cs="Work Sans"/>
          <w:color w:val="000000" w:themeColor="text1"/>
          <w:sz w:val="24"/>
          <w:szCs w:val="24"/>
        </w:rPr>
        <w:t xml:space="preserve">una </w:t>
      </w:r>
      <w:r w:rsidRPr="00734C43" w:rsidR="00734C43">
        <w:rPr>
          <w:rFonts w:ascii="Work Sans" w:hAnsi="Work Sans" w:eastAsia="Work Sans" w:cs="Work Sans"/>
          <w:color w:val="000000" w:themeColor="text1"/>
          <w:sz w:val="24"/>
          <w:szCs w:val="24"/>
        </w:rPr>
        <w:t>relación B/C se mantiene mayor que 1 en la totalidad de los casos evaluados (100 simulaciones), con valores en</w:t>
      </w:r>
      <w:r w:rsidR="00947CA4">
        <w:rPr>
          <w:rFonts w:ascii="Work Sans" w:hAnsi="Work Sans" w:eastAsia="Work Sans" w:cs="Work Sans"/>
          <w:color w:val="000000" w:themeColor="text1"/>
          <w:sz w:val="24"/>
          <w:szCs w:val="24"/>
        </w:rPr>
        <w:t xml:space="preserve">tre </w:t>
      </w:r>
      <w:r w:rsidRPr="00734C43" w:rsidR="00734C43">
        <w:rPr>
          <w:rFonts w:ascii="Work Sans" w:hAnsi="Work Sans" w:eastAsia="Work Sans" w:cs="Work Sans"/>
          <w:color w:val="000000" w:themeColor="text1"/>
          <w:sz w:val="24"/>
          <w:szCs w:val="24"/>
        </w:rPr>
        <w:t>1.94</w:t>
      </w:r>
      <w:r w:rsidR="00947CA4">
        <w:rPr>
          <w:rFonts w:ascii="Work Sans" w:hAnsi="Work Sans" w:eastAsia="Work Sans" w:cs="Work Sans"/>
          <w:color w:val="000000" w:themeColor="text1"/>
          <w:sz w:val="24"/>
          <w:szCs w:val="24"/>
        </w:rPr>
        <w:t xml:space="preserve"> y</w:t>
      </w:r>
      <w:r w:rsidRPr="00734C43" w:rsidR="00734C43">
        <w:rPr>
          <w:rFonts w:ascii="Work Sans" w:hAnsi="Work Sans" w:eastAsia="Work Sans" w:cs="Work Sans"/>
          <w:color w:val="000000" w:themeColor="text1"/>
          <w:sz w:val="24"/>
          <w:szCs w:val="24"/>
        </w:rPr>
        <w:t xml:space="preserve"> 3.22</w:t>
      </w:r>
      <w:r w:rsidR="00947CA4">
        <w:rPr>
          <w:rFonts w:ascii="Work Sans" w:hAnsi="Work Sans" w:eastAsia="Work Sans" w:cs="Work Sans"/>
          <w:color w:val="000000" w:themeColor="text1"/>
          <w:sz w:val="24"/>
          <w:szCs w:val="24"/>
        </w:rPr>
        <w:t>,</w:t>
      </w:r>
      <w:r w:rsidRPr="00734C43" w:rsidR="00734C43">
        <w:rPr>
          <w:rFonts w:ascii="Work Sans" w:hAnsi="Work Sans" w:eastAsia="Work Sans" w:cs="Work Sans"/>
          <w:color w:val="000000" w:themeColor="text1"/>
          <w:sz w:val="24"/>
          <w:szCs w:val="24"/>
        </w:rPr>
        <w:t xml:space="preserve"> y una media de 2.88.</w:t>
      </w:r>
    </w:p>
    <w:p w:rsidR="00845518" w:rsidP="007250AE" w:rsidRDefault="00845518" w14:paraId="479792FA" w14:textId="77777777">
      <w:pPr>
        <w:tabs>
          <w:tab w:val="left" w:pos="4650"/>
        </w:tabs>
        <w:spacing w:after="0"/>
        <w:ind w:right="51"/>
        <w:contextualSpacing/>
        <w:jc w:val="both"/>
        <w:rPr>
          <w:rFonts w:ascii="Work Sans" w:hAnsi="Work Sans" w:cs="Arial"/>
          <w:b/>
          <w:bCs/>
          <w:sz w:val="24"/>
          <w:szCs w:val="24"/>
        </w:rPr>
      </w:pPr>
    </w:p>
    <w:p w:rsidR="001E0546" w:rsidP="12AE42D8" w:rsidRDefault="000B4806" w14:paraId="2FB07E65" w14:textId="53A4DC6B">
      <w:pPr>
        <w:tabs>
          <w:tab w:val="left" w:pos="4650"/>
        </w:tabs>
        <w:spacing w:after="0"/>
        <w:ind w:right="51"/>
        <w:contextualSpacing w:val="1"/>
        <w:jc w:val="both"/>
        <w:rPr>
          <w:rFonts w:ascii="Work Sans" w:hAnsi="Work Sans" w:cs="Arial"/>
          <w:b w:val="1"/>
          <w:bCs w:val="1"/>
          <w:sz w:val="24"/>
          <w:szCs w:val="24"/>
          <w:u w:val="single"/>
        </w:rPr>
      </w:pPr>
      <w:r w:rsidRPr="12AE42D8" w:rsidR="000B4806">
        <w:rPr>
          <w:rFonts w:ascii="Work Sans" w:hAnsi="Work Sans" w:cs="Arial"/>
          <w:b w:val="1"/>
          <w:bCs w:val="1"/>
          <w:sz w:val="24"/>
          <w:szCs w:val="24"/>
          <w:u w:val="single"/>
        </w:rPr>
        <w:t xml:space="preserve">Solución Altas </w:t>
      </w:r>
      <w:r w:rsidRPr="12AE42D8" w:rsidR="000B4806">
        <w:rPr>
          <w:rFonts w:ascii="Work Sans" w:hAnsi="Work Sans" w:cs="Arial"/>
          <w:b w:val="1"/>
          <w:bCs w:val="1"/>
          <w:sz w:val="24"/>
          <w:szCs w:val="24"/>
          <w:u w:val="single"/>
        </w:rPr>
        <w:t>Cargabilidades</w:t>
      </w:r>
      <w:r w:rsidRPr="12AE42D8" w:rsidR="000B4806">
        <w:rPr>
          <w:rFonts w:ascii="Work Sans" w:hAnsi="Work Sans" w:cs="Arial"/>
          <w:b w:val="1"/>
          <w:bCs w:val="1"/>
          <w:sz w:val="24"/>
          <w:szCs w:val="24"/>
          <w:u w:val="single"/>
        </w:rPr>
        <w:t xml:space="preserve"> Oriente Antioqueño (SACOA) – </w:t>
      </w:r>
      <w:r w:rsidRPr="12AE42D8" w:rsidR="0B380F60">
        <w:rPr>
          <w:rFonts w:ascii="Work Sans" w:hAnsi="Work Sans" w:cs="Arial"/>
          <w:b w:val="1"/>
          <w:bCs w:val="1"/>
          <w:sz w:val="24"/>
          <w:szCs w:val="24"/>
          <w:u w:val="single"/>
        </w:rPr>
        <w:t>S</w:t>
      </w:r>
      <w:r w:rsidRPr="12AE42D8" w:rsidR="000B4806">
        <w:rPr>
          <w:rFonts w:ascii="Work Sans" w:hAnsi="Work Sans" w:cs="Arial"/>
          <w:b w:val="1"/>
          <w:bCs w:val="1"/>
          <w:sz w:val="24"/>
          <w:szCs w:val="24"/>
          <w:u w:val="single"/>
        </w:rPr>
        <w:t>ubestación Guarne 230/110 kV</w:t>
      </w:r>
    </w:p>
    <w:p w:rsidR="397E51D1" w:rsidP="397E51D1" w:rsidRDefault="397E51D1" w14:paraId="059DC601" w14:textId="25A561AB">
      <w:pPr>
        <w:tabs>
          <w:tab w:val="left" w:pos="4650"/>
        </w:tabs>
        <w:spacing w:after="0"/>
        <w:ind w:right="51"/>
        <w:contextualSpacing/>
        <w:jc w:val="both"/>
        <w:rPr>
          <w:rFonts w:ascii="Work Sans" w:hAnsi="Work Sans" w:cs="Arial"/>
          <w:b/>
          <w:bCs/>
          <w:sz w:val="24"/>
          <w:szCs w:val="24"/>
          <w:u w:val="single"/>
        </w:rPr>
      </w:pPr>
    </w:p>
    <w:p w:rsidRPr="00C41788" w:rsidR="004A52A0" w:rsidP="007250AE" w:rsidRDefault="001E0546" w14:paraId="2E1DE109" w14:textId="2E62D13D">
      <w:pPr>
        <w:tabs>
          <w:tab w:val="left" w:pos="4650"/>
        </w:tabs>
        <w:spacing w:after="0"/>
        <w:ind w:left="708" w:right="51"/>
        <w:contextualSpacing/>
        <w:jc w:val="both"/>
        <w:rPr>
          <w:rFonts w:ascii="Work Sans" w:hAnsi="Work Sans" w:cs="Arial"/>
          <w:b/>
          <w:bCs/>
          <w:sz w:val="24"/>
          <w:szCs w:val="24"/>
        </w:rPr>
      </w:pPr>
      <w:r w:rsidRPr="397E51D1">
        <w:rPr>
          <w:rFonts w:ascii="Work Sans" w:hAnsi="Work Sans" w:cs="Arial"/>
          <w:b/>
          <w:bCs/>
          <w:sz w:val="24"/>
          <w:szCs w:val="24"/>
        </w:rPr>
        <w:t>Alcance:</w:t>
      </w:r>
      <w:r w:rsidRPr="397E51D1" w:rsidR="00C41788">
        <w:rPr>
          <w:rFonts w:ascii="Work Sans" w:hAnsi="Work Sans" w:cs="Arial"/>
          <w:sz w:val="24"/>
          <w:szCs w:val="24"/>
        </w:rPr>
        <w:t xml:space="preserve"> La obra comprende las intervenciones descritas a continuación:</w:t>
      </w:r>
    </w:p>
    <w:p w:rsidR="397E51D1" w:rsidP="397E51D1" w:rsidRDefault="397E51D1" w14:paraId="347FDC5C" w14:textId="4560F4BF">
      <w:pPr>
        <w:tabs>
          <w:tab w:val="left" w:pos="4650"/>
        </w:tabs>
        <w:spacing w:after="0"/>
        <w:ind w:left="708" w:right="51"/>
        <w:contextualSpacing/>
        <w:jc w:val="both"/>
        <w:rPr>
          <w:rFonts w:ascii="Work Sans" w:hAnsi="Work Sans" w:cs="Arial"/>
          <w:sz w:val="24"/>
          <w:szCs w:val="24"/>
        </w:rPr>
      </w:pPr>
    </w:p>
    <w:p w:rsidRPr="00C2431C" w:rsidR="004A52A0" w:rsidP="12AE42D8" w:rsidRDefault="004A52A0" w14:paraId="533D5471" w14:textId="1780B8E6">
      <w:pPr>
        <w:pStyle w:val="ListParagraph"/>
        <w:numPr>
          <w:ilvl w:val="0"/>
          <w:numId w:val="3"/>
        </w:numPr>
        <w:tabs>
          <w:tab w:val="left" w:pos="4650"/>
        </w:tabs>
        <w:spacing w:after="0"/>
        <w:ind w:right="51"/>
        <w:contextualSpacing w:val="1"/>
        <w:jc w:val="both"/>
        <w:rPr>
          <w:rFonts w:ascii="Work Sans" w:hAnsi="Work Sans" w:cs="Arial"/>
          <w:sz w:val="24"/>
          <w:szCs w:val="24"/>
        </w:rPr>
      </w:pPr>
      <w:r w:rsidRPr="12AE42D8" w:rsidR="004A52A0">
        <w:rPr>
          <w:rFonts w:ascii="Work Sans" w:hAnsi="Work Sans" w:cs="Arial"/>
          <w:sz w:val="24"/>
          <w:szCs w:val="24"/>
        </w:rPr>
        <w:t>Nueva subestación Guarne 230/110</w:t>
      </w:r>
      <w:r w:rsidRPr="12AE42D8" w:rsidR="7D1EBA5F">
        <w:rPr>
          <w:rFonts w:ascii="Work Sans" w:hAnsi="Work Sans" w:cs="Arial"/>
          <w:sz w:val="24"/>
          <w:szCs w:val="24"/>
        </w:rPr>
        <w:t xml:space="preserve"> </w:t>
      </w:r>
      <w:r w:rsidRPr="12AE42D8" w:rsidR="7D1EBA5F">
        <w:rPr>
          <w:rFonts w:ascii="Work Sans" w:hAnsi="Work Sans" w:cs="Arial"/>
          <w:sz w:val="24"/>
          <w:szCs w:val="24"/>
          <w:highlight w:val="yellow"/>
        </w:rPr>
        <w:t>kV</w:t>
      </w:r>
      <w:r w:rsidRPr="12AE42D8" w:rsidR="004A52A0">
        <w:rPr>
          <w:rFonts w:ascii="Work Sans" w:hAnsi="Work Sans" w:cs="Arial"/>
          <w:sz w:val="24"/>
          <w:szCs w:val="24"/>
        </w:rPr>
        <w:t xml:space="preserve"> mediante el seccionamiento de los circuitos Guatapé – Miraflores 230 kV y Ayurá - Córdoba 110 kV.</w:t>
      </w:r>
    </w:p>
    <w:p w:rsidR="397E51D1" w:rsidP="397E51D1" w:rsidRDefault="397E51D1" w14:paraId="132341CC" w14:textId="594A0766">
      <w:pPr>
        <w:pStyle w:val="ListParagraph"/>
        <w:tabs>
          <w:tab w:val="left" w:pos="4650"/>
        </w:tabs>
        <w:spacing w:after="0"/>
        <w:ind w:left="1428" w:right="51"/>
        <w:contextualSpacing/>
        <w:jc w:val="both"/>
        <w:rPr>
          <w:rFonts w:ascii="Work Sans" w:hAnsi="Work Sans" w:cs="Arial"/>
          <w:sz w:val="24"/>
          <w:szCs w:val="24"/>
        </w:rPr>
      </w:pPr>
    </w:p>
    <w:p w:rsidRPr="00C2431C" w:rsidR="001E0546" w:rsidP="12AE42D8" w:rsidRDefault="004A52A0" w14:paraId="522095D8" w14:textId="66AB0C0A">
      <w:pPr>
        <w:pStyle w:val="ListParagraph"/>
        <w:numPr>
          <w:ilvl w:val="0"/>
          <w:numId w:val="3"/>
        </w:numPr>
        <w:tabs>
          <w:tab w:val="left" w:pos="4650"/>
        </w:tabs>
        <w:spacing w:after="0"/>
        <w:ind w:right="51"/>
        <w:contextualSpacing w:val="1"/>
        <w:jc w:val="both"/>
        <w:rPr>
          <w:rFonts w:ascii="Work Sans" w:hAnsi="Work Sans" w:cs="Arial"/>
          <w:sz w:val="24"/>
          <w:szCs w:val="24"/>
          <w:highlight w:val="yellow"/>
        </w:rPr>
      </w:pPr>
      <w:r w:rsidRPr="12AE42D8" w:rsidR="004A52A0">
        <w:rPr>
          <w:rFonts w:ascii="Work Sans" w:hAnsi="Work Sans" w:cs="Arial"/>
          <w:sz w:val="24"/>
          <w:szCs w:val="24"/>
        </w:rPr>
        <w:t xml:space="preserve">Dos nuevos </w:t>
      </w:r>
      <w:r w:rsidRPr="12AE42D8" w:rsidR="49062A6F">
        <w:rPr>
          <w:rFonts w:ascii="Work Sans" w:hAnsi="Work Sans" w:cs="Arial"/>
          <w:sz w:val="24"/>
          <w:szCs w:val="24"/>
          <w:highlight w:val="yellow"/>
        </w:rPr>
        <w:t>bancos de auto</w:t>
      </w:r>
      <w:r w:rsidRPr="12AE42D8" w:rsidR="004A52A0">
        <w:rPr>
          <w:rFonts w:ascii="Work Sans" w:hAnsi="Work Sans" w:cs="Arial"/>
          <w:sz w:val="24"/>
          <w:szCs w:val="24"/>
        </w:rPr>
        <w:t>transformadores</w:t>
      </w:r>
      <w:r w:rsidRPr="12AE42D8" w:rsidR="78BEC729">
        <w:rPr>
          <w:rFonts w:ascii="Work Sans" w:hAnsi="Work Sans" w:cs="Arial"/>
          <w:sz w:val="24"/>
          <w:szCs w:val="24"/>
        </w:rPr>
        <w:t xml:space="preserve"> </w:t>
      </w:r>
      <w:r w:rsidRPr="12AE42D8" w:rsidR="78BEC729">
        <w:rPr>
          <w:rFonts w:ascii="Work Sans" w:hAnsi="Work Sans" w:cs="Arial"/>
          <w:sz w:val="24"/>
          <w:szCs w:val="24"/>
          <w:highlight w:val="yellow"/>
        </w:rPr>
        <w:t>monofásicos</w:t>
      </w:r>
      <w:r w:rsidRPr="12AE42D8" w:rsidR="004A52A0">
        <w:rPr>
          <w:rFonts w:ascii="Work Sans" w:hAnsi="Work Sans" w:cs="Arial"/>
          <w:sz w:val="24"/>
          <w:szCs w:val="24"/>
        </w:rPr>
        <w:t xml:space="preserve"> en la subestación Guarne 2</w:t>
      </w:r>
      <w:r w:rsidRPr="12AE42D8" w:rsidR="2C5FE93D">
        <w:rPr>
          <w:rFonts w:ascii="Work Sans" w:hAnsi="Work Sans" w:cs="Arial"/>
          <w:sz w:val="24"/>
          <w:szCs w:val="24"/>
          <w:highlight w:val="yellow"/>
        </w:rPr>
        <w:t>3</w:t>
      </w:r>
      <w:r w:rsidRPr="12AE42D8" w:rsidR="004A52A0">
        <w:rPr>
          <w:rFonts w:ascii="Work Sans" w:hAnsi="Work Sans" w:cs="Arial"/>
          <w:sz w:val="24"/>
          <w:szCs w:val="24"/>
        </w:rPr>
        <w:t>0/110 kV de 180 MVA</w:t>
      </w:r>
      <w:r w:rsidRPr="12AE42D8" w:rsidR="00DE485B">
        <w:rPr>
          <w:rFonts w:ascii="Work Sans" w:hAnsi="Work Sans" w:cs="Arial"/>
          <w:sz w:val="24"/>
          <w:szCs w:val="24"/>
        </w:rPr>
        <w:t xml:space="preserve"> </w:t>
      </w:r>
      <w:r w:rsidRPr="12AE42D8" w:rsidR="00DE485B">
        <w:rPr>
          <w:rFonts w:ascii="Work Sans" w:hAnsi="Work Sans" w:cs="Arial"/>
          <w:sz w:val="24"/>
          <w:szCs w:val="24"/>
          <w:highlight w:val="yellow"/>
        </w:rPr>
        <w:t xml:space="preserve">cada </w:t>
      </w:r>
      <w:r w:rsidRPr="12AE42D8" w:rsidR="7EF33FA0">
        <w:rPr>
          <w:rFonts w:ascii="Work Sans" w:hAnsi="Work Sans" w:cs="Arial"/>
          <w:sz w:val="24"/>
          <w:szCs w:val="24"/>
          <w:highlight w:val="yellow"/>
        </w:rPr>
        <w:t>banco en la subestación Guarne</w:t>
      </w:r>
      <w:r w:rsidRPr="12AE42D8" w:rsidR="004A52A0">
        <w:rPr>
          <w:rFonts w:ascii="Work Sans" w:hAnsi="Work Sans" w:cs="Arial"/>
          <w:sz w:val="24"/>
          <w:szCs w:val="24"/>
          <w:highlight w:val="yellow"/>
        </w:rPr>
        <w:t>.</w:t>
      </w:r>
    </w:p>
    <w:p w:rsidR="576F2389" w:rsidP="1CBA6FCB" w:rsidRDefault="576F2389" w14:paraId="60AADCBA" w14:textId="60CF31AE">
      <w:pPr>
        <w:pStyle w:val="ListParagraph"/>
        <w:tabs>
          <w:tab w:val="left" w:pos="4650"/>
        </w:tabs>
        <w:spacing w:after="0"/>
        <w:ind w:left="1428" w:right="51"/>
        <w:contextualSpacing/>
        <w:jc w:val="both"/>
        <w:rPr>
          <w:rFonts w:ascii="Work Sans" w:hAnsi="Work Sans" w:cs="Arial"/>
          <w:sz w:val="24"/>
          <w:szCs w:val="24"/>
        </w:rPr>
      </w:pPr>
    </w:p>
    <w:p w:rsidRPr="00220EF9" w:rsidR="001E0546" w:rsidP="007250AE" w:rsidRDefault="001E0546" w14:paraId="64386B35" w14:textId="08560210">
      <w:pPr>
        <w:tabs>
          <w:tab w:val="left" w:pos="4650"/>
        </w:tabs>
        <w:spacing w:after="0"/>
        <w:ind w:left="708" w:right="51"/>
        <w:contextualSpacing/>
        <w:jc w:val="both"/>
        <w:rPr>
          <w:rFonts w:ascii="Work Sans" w:hAnsi="Work Sans" w:eastAsia="Work Sans" w:cs="Work Sans"/>
          <w:b/>
          <w:bC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AE4ECA" w:rsidR="00AE4ECA">
        <w:rPr>
          <w:rFonts w:ascii="Work Sans" w:hAnsi="Work Sans" w:eastAsia="Work Sans" w:cs="Work Sans"/>
          <w:color w:val="000000" w:themeColor="text1"/>
          <w:sz w:val="24"/>
          <w:szCs w:val="24"/>
        </w:rPr>
        <w:t xml:space="preserve">La medida permite atender el crecimiento sostenido de la demanda en el oriente antioqueño a nivel del Sistema de Distribución Local (SDL). Dicho crecimiento se refleja en el elevado número de solicitudes de conexión registradas en el SDL, contribuyendo así a la mejora de los perfiles de tensión y a una operación más robusta y confiable del sistema en la </w:t>
      </w:r>
      <w:r w:rsidR="00E53286">
        <w:rPr>
          <w:rFonts w:ascii="Work Sans" w:hAnsi="Work Sans" w:eastAsia="Work Sans" w:cs="Work Sans"/>
          <w:color w:val="000000" w:themeColor="text1"/>
          <w:sz w:val="24"/>
          <w:szCs w:val="24"/>
        </w:rPr>
        <w:t>región</w:t>
      </w:r>
      <w:r w:rsidRPr="00AE4ECA" w:rsidR="00AE4ECA">
        <w:rPr>
          <w:rFonts w:ascii="Work Sans" w:hAnsi="Work Sans" w:eastAsia="Work Sans" w:cs="Work Sans"/>
          <w:color w:val="000000" w:themeColor="text1"/>
          <w:sz w:val="24"/>
          <w:szCs w:val="24"/>
        </w:rPr>
        <w:t>.</w:t>
      </w:r>
    </w:p>
    <w:p w:rsidR="001E0546" w:rsidP="007250AE" w:rsidRDefault="001E0546" w14:paraId="6375BC99"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1E0546" w:rsidP="007250AE" w:rsidRDefault="001E0546" w14:paraId="36D12C73" w14:textId="4222A48E">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FF4601">
        <w:rPr>
          <w:rFonts w:ascii="Work Sans" w:hAnsi="Work Sans" w:eastAsia="Work Sans" w:cs="Work Sans"/>
          <w:color w:val="000000" w:themeColor="text1"/>
          <w:sz w:val="24"/>
          <w:szCs w:val="24"/>
        </w:rPr>
        <w:t xml:space="preserve">es </w:t>
      </w:r>
      <w:r w:rsidRPr="00FF4601" w:rsidR="00F51187">
        <w:rPr>
          <w:rFonts w:ascii="Work Sans" w:hAnsi="Work Sans" w:eastAsia="Work Sans" w:cs="Work Sans"/>
          <w:color w:val="000000" w:themeColor="text1"/>
          <w:sz w:val="24"/>
          <w:szCs w:val="24"/>
        </w:rPr>
        <w:t>36.43</w:t>
      </w:r>
      <w:r w:rsidRPr="00FF4601">
        <w:rPr>
          <w:rFonts w:ascii="Work Sans" w:hAnsi="Work Sans" w:eastAsia="Work Sans" w:cs="Work Sans"/>
          <w:color w:val="000000" w:themeColor="text1"/>
          <w:sz w:val="24"/>
          <w:szCs w:val="24"/>
        </w:rPr>
        <w:t>, superior a 1.</w:t>
      </w:r>
    </w:p>
    <w:p w:rsidR="00340F5B" w:rsidP="007250AE" w:rsidRDefault="00340F5B" w14:paraId="4BA31E0E" w14:textId="77777777">
      <w:pPr>
        <w:tabs>
          <w:tab w:val="left" w:pos="4650"/>
        </w:tabs>
        <w:spacing w:after="0"/>
        <w:ind w:right="51"/>
        <w:contextualSpacing/>
        <w:jc w:val="both"/>
        <w:rPr>
          <w:rFonts w:ascii="Work Sans" w:hAnsi="Work Sans" w:cs="Arial"/>
          <w:b/>
          <w:bCs/>
          <w:sz w:val="24"/>
          <w:szCs w:val="24"/>
        </w:rPr>
      </w:pPr>
    </w:p>
    <w:p w:rsidR="00E53286" w:rsidP="718D9970" w:rsidRDefault="000B4806" w14:paraId="5CF20E9C" w14:textId="1E53BE7E">
      <w:pPr>
        <w:tabs>
          <w:tab w:val="left" w:pos="4650"/>
        </w:tabs>
        <w:spacing w:after="0"/>
        <w:ind w:right="51"/>
        <w:contextualSpacing/>
        <w:jc w:val="both"/>
        <w:rPr>
          <w:rFonts w:ascii="Work Sans" w:hAnsi="Work Sans" w:cs="Arial"/>
          <w:b/>
          <w:bCs/>
          <w:sz w:val="24"/>
          <w:szCs w:val="24"/>
          <w:u w:val="single"/>
        </w:rPr>
      </w:pPr>
      <w:r w:rsidRPr="397E51D1">
        <w:rPr>
          <w:rFonts w:ascii="Work Sans" w:hAnsi="Work Sans" w:cs="Arial"/>
          <w:b/>
          <w:bCs/>
          <w:sz w:val="24"/>
          <w:szCs w:val="24"/>
          <w:u w:val="single"/>
        </w:rPr>
        <w:t>Refuerzo subestación Heliconia 500/230 kV</w:t>
      </w:r>
    </w:p>
    <w:p w:rsidR="397E51D1" w:rsidP="397E51D1" w:rsidRDefault="397E51D1" w14:paraId="7AAABFCF" w14:textId="0D39AD7D">
      <w:pPr>
        <w:tabs>
          <w:tab w:val="left" w:pos="4650"/>
        </w:tabs>
        <w:spacing w:after="0"/>
        <w:ind w:right="51"/>
        <w:contextualSpacing/>
        <w:jc w:val="both"/>
        <w:rPr>
          <w:rFonts w:ascii="Work Sans" w:hAnsi="Work Sans" w:cs="Arial"/>
          <w:b/>
          <w:bCs/>
          <w:sz w:val="24"/>
          <w:szCs w:val="24"/>
          <w:u w:val="single"/>
        </w:rPr>
      </w:pPr>
    </w:p>
    <w:p w:rsidRPr="00C41788" w:rsidR="00E53286" w:rsidP="007250AE" w:rsidRDefault="00E53286" w14:paraId="44F7F747" w14:textId="232456E9">
      <w:pPr>
        <w:tabs>
          <w:tab w:val="left" w:pos="4650"/>
        </w:tabs>
        <w:spacing w:after="0"/>
        <w:ind w:left="708" w:right="51"/>
        <w:contextualSpacing/>
        <w:jc w:val="both"/>
        <w:rPr>
          <w:rFonts w:ascii="Work Sans" w:hAnsi="Work Sans" w:cs="Arial"/>
          <w:b/>
          <w:bCs/>
          <w:sz w:val="24"/>
          <w:szCs w:val="24"/>
        </w:rPr>
      </w:pPr>
      <w:r w:rsidRPr="397E51D1">
        <w:rPr>
          <w:rFonts w:ascii="Work Sans" w:hAnsi="Work Sans" w:cs="Arial"/>
          <w:b/>
          <w:bCs/>
          <w:sz w:val="24"/>
          <w:szCs w:val="24"/>
        </w:rPr>
        <w:t>Alcance:</w:t>
      </w:r>
      <w:r w:rsidRPr="397E51D1" w:rsidR="00C41788">
        <w:rPr>
          <w:rFonts w:ascii="Work Sans" w:hAnsi="Work Sans" w:cs="Arial"/>
          <w:sz w:val="24"/>
          <w:szCs w:val="24"/>
        </w:rPr>
        <w:t xml:space="preserve"> La obra comprende las intervenciones descritas a continuación:</w:t>
      </w:r>
    </w:p>
    <w:p w:rsidR="397E51D1" w:rsidP="397E51D1" w:rsidRDefault="397E51D1" w14:paraId="65FF983A" w14:textId="03910D94">
      <w:pPr>
        <w:tabs>
          <w:tab w:val="left" w:pos="4650"/>
        </w:tabs>
        <w:spacing w:after="0"/>
        <w:ind w:left="708" w:right="51"/>
        <w:contextualSpacing/>
        <w:jc w:val="both"/>
        <w:rPr>
          <w:rFonts w:ascii="Work Sans" w:hAnsi="Work Sans" w:cs="Arial"/>
          <w:sz w:val="24"/>
          <w:szCs w:val="24"/>
        </w:rPr>
      </w:pPr>
    </w:p>
    <w:p w:rsidRPr="00C2431C" w:rsidR="00C2431C" w:rsidP="12AE42D8" w:rsidRDefault="00C2431C" w14:paraId="116041C8" w14:textId="4B775983">
      <w:pPr>
        <w:pStyle w:val="ListParagraph"/>
        <w:numPr>
          <w:ilvl w:val="0"/>
          <w:numId w:val="7"/>
        </w:numPr>
        <w:tabs>
          <w:tab w:val="left" w:pos="4650"/>
        </w:tabs>
        <w:spacing w:after="0"/>
        <w:ind w:right="51"/>
        <w:contextualSpacing w:val="1"/>
        <w:jc w:val="both"/>
        <w:rPr>
          <w:rFonts w:ascii="Work Sans" w:hAnsi="Work Sans" w:cs="Arial"/>
          <w:sz w:val="24"/>
          <w:szCs w:val="24"/>
          <w:lang w:val="pt-BR"/>
        </w:rPr>
      </w:pPr>
      <w:r w:rsidRPr="12AE42D8" w:rsidR="0385520A">
        <w:rPr>
          <w:rFonts w:ascii="Work Sans" w:hAnsi="Work Sans" w:cs="Arial"/>
          <w:sz w:val="24"/>
          <w:szCs w:val="24"/>
          <w:highlight w:val="yellow"/>
          <w:lang w:val="pt-BR"/>
        </w:rPr>
        <w:t>Instalación</w:t>
      </w:r>
      <w:r w:rsidRPr="12AE42D8" w:rsidR="0385520A">
        <w:rPr>
          <w:rFonts w:ascii="Work Sans" w:hAnsi="Work Sans" w:cs="Arial"/>
          <w:sz w:val="24"/>
          <w:szCs w:val="24"/>
          <w:highlight w:val="yellow"/>
          <w:lang w:val="pt-BR"/>
        </w:rPr>
        <w:t xml:space="preserve"> de </w:t>
      </w:r>
      <w:r w:rsidRPr="12AE42D8" w:rsidR="0385520A">
        <w:rPr>
          <w:rFonts w:ascii="Work Sans" w:hAnsi="Work Sans" w:cs="Arial"/>
          <w:sz w:val="24"/>
          <w:szCs w:val="24"/>
          <w:highlight w:val="yellow"/>
          <w:lang w:val="pt-BR"/>
        </w:rPr>
        <w:t>un</w:t>
      </w:r>
      <w:r w:rsidRPr="12AE42D8" w:rsidR="0385520A">
        <w:rPr>
          <w:rFonts w:ascii="Work Sans" w:hAnsi="Work Sans" w:cs="Arial"/>
          <w:sz w:val="24"/>
          <w:szCs w:val="24"/>
          <w:lang w:val="pt-BR"/>
        </w:rPr>
        <w:t xml:space="preserve"> </w:t>
      </w:r>
      <w:r w:rsidRPr="12AE42D8" w:rsidR="0385520A">
        <w:rPr>
          <w:rFonts w:ascii="Work Sans" w:hAnsi="Work Sans" w:cs="Arial"/>
          <w:sz w:val="24"/>
          <w:szCs w:val="24"/>
          <w:lang w:val="pt-BR"/>
        </w:rPr>
        <w:t>t</w:t>
      </w:r>
      <w:r w:rsidRPr="12AE42D8" w:rsidR="00C2431C">
        <w:rPr>
          <w:rFonts w:ascii="Work Sans" w:hAnsi="Work Sans" w:cs="Arial"/>
          <w:sz w:val="24"/>
          <w:szCs w:val="24"/>
          <w:lang w:val="pt-BR"/>
        </w:rPr>
        <w:t>ercer</w:t>
      </w:r>
      <w:r w:rsidRPr="12AE42D8" w:rsidR="00C2431C">
        <w:rPr>
          <w:rFonts w:ascii="Work Sans" w:hAnsi="Work Sans" w:cs="Arial"/>
          <w:sz w:val="24"/>
          <w:szCs w:val="24"/>
          <w:lang w:val="pt-BR"/>
        </w:rPr>
        <w:t xml:space="preserve"> </w:t>
      </w:r>
      <w:r w:rsidRPr="12AE42D8" w:rsidR="42DDE1B9">
        <w:rPr>
          <w:rFonts w:ascii="Work Sans" w:hAnsi="Work Sans" w:cs="Arial"/>
          <w:sz w:val="24"/>
          <w:szCs w:val="24"/>
          <w:highlight w:val="yellow"/>
          <w:lang w:val="pt-BR"/>
        </w:rPr>
        <w:t>banco de</w:t>
      </w:r>
      <w:r w:rsidRPr="12AE42D8" w:rsidR="42DDE1B9">
        <w:rPr>
          <w:rFonts w:ascii="Work Sans" w:hAnsi="Work Sans" w:cs="Arial"/>
          <w:sz w:val="24"/>
          <w:szCs w:val="24"/>
          <w:lang w:val="pt-BR"/>
        </w:rPr>
        <w:t xml:space="preserve"> </w:t>
      </w:r>
      <w:r w:rsidRPr="12AE42D8" w:rsidR="2DF64D55">
        <w:rPr>
          <w:rFonts w:ascii="Work Sans" w:hAnsi="Work Sans" w:cs="Arial"/>
          <w:sz w:val="24"/>
          <w:szCs w:val="24"/>
          <w:highlight w:val="yellow"/>
          <w:lang w:val="pt-BR"/>
        </w:rPr>
        <w:t>auto</w:t>
      </w:r>
      <w:r w:rsidRPr="12AE42D8" w:rsidR="00C2431C">
        <w:rPr>
          <w:rFonts w:ascii="Work Sans" w:hAnsi="Work Sans" w:cs="Arial"/>
          <w:sz w:val="24"/>
          <w:szCs w:val="24"/>
          <w:lang w:val="pt-BR"/>
        </w:rPr>
        <w:t>transformador</w:t>
      </w:r>
      <w:r w:rsidRPr="12AE42D8" w:rsidR="23940060">
        <w:rPr>
          <w:rFonts w:ascii="Work Sans" w:hAnsi="Work Sans" w:cs="Arial"/>
          <w:sz w:val="24"/>
          <w:szCs w:val="24"/>
          <w:highlight w:val="yellow"/>
          <w:lang w:val="pt-BR"/>
        </w:rPr>
        <w:t xml:space="preserve">es </w:t>
      </w:r>
      <w:r w:rsidRPr="12AE42D8" w:rsidR="23940060">
        <w:rPr>
          <w:rFonts w:ascii="Work Sans" w:hAnsi="Work Sans" w:cs="Arial"/>
          <w:sz w:val="24"/>
          <w:szCs w:val="24"/>
          <w:highlight w:val="yellow"/>
          <w:lang w:val="pt-BR"/>
        </w:rPr>
        <w:t>monofasicos</w:t>
      </w:r>
      <w:r w:rsidRPr="12AE42D8" w:rsidR="00C2431C">
        <w:rPr>
          <w:rFonts w:ascii="Work Sans" w:hAnsi="Work Sans" w:cs="Arial"/>
          <w:sz w:val="24"/>
          <w:szCs w:val="24"/>
          <w:highlight w:val="yellow"/>
          <w:lang w:val="pt-BR"/>
        </w:rPr>
        <w:t xml:space="preserve"> </w:t>
      </w:r>
      <w:r w:rsidRPr="12AE42D8" w:rsidR="443CEE4A">
        <w:rPr>
          <w:rFonts w:ascii="Work Sans" w:hAnsi="Work Sans" w:cs="Arial"/>
          <w:sz w:val="24"/>
          <w:szCs w:val="24"/>
          <w:highlight w:val="yellow"/>
          <w:lang w:val="pt-BR"/>
        </w:rPr>
        <w:t>500/230 kV</w:t>
      </w:r>
      <w:r w:rsidRPr="12AE42D8" w:rsidR="0E9E0471">
        <w:rPr>
          <w:rFonts w:ascii="Work Sans" w:hAnsi="Work Sans" w:cs="Arial"/>
          <w:sz w:val="24"/>
          <w:szCs w:val="24"/>
          <w:highlight w:val="yellow"/>
          <w:lang w:val="pt-BR"/>
        </w:rPr>
        <w:t xml:space="preserve"> de 450 MVA cada uno </w:t>
      </w:r>
      <w:r w:rsidRPr="12AE42D8" w:rsidR="2C52F442">
        <w:rPr>
          <w:rFonts w:ascii="Work Sans" w:hAnsi="Work Sans" w:cs="Arial"/>
          <w:sz w:val="24"/>
          <w:szCs w:val="24"/>
          <w:highlight w:val="yellow"/>
          <w:lang w:val="pt-BR"/>
        </w:rPr>
        <w:t>en</w:t>
      </w:r>
      <w:r w:rsidRPr="12AE42D8" w:rsidR="2C52F442">
        <w:rPr>
          <w:rFonts w:ascii="Work Sans" w:hAnsi="Work Sans" w:cs="Arial"/>
          <w:sz w:val="24"/>
          <w:szCs w:val="24"/>
          <w:highlight w:val="yellow"/>
          <w:lang w:val="pt-BR"/>
        </w:rPr>
        <w:t xml:space="preserve"> </w:t>
      </w:r>
      <w:r w:rsidRPr="12AE42D8" w:rsidR="2C52F442">
        <w:rPr>
          <w:rFonts w:ascii="Work Sans" w:hAnsi="Work Sans" w:cs="Arial"/>
          <w:sz w:val="24"/>
          <w:szCs w:val="24"/>
          <w:highlight w:val="yellow"/>
          <w:lang w:val="pt-BR"/>
        </w:rPr>
        <w:t>la</w:t>
      </w:r>
      <w:r w:rsidRPr="12AE42D8" w:rsidR="2C52F442">
        <w:rPr>
          <w:rFonts w:ascii="Work Sans" w:hAnsi="Work Sans" w:cs="Arial"/>
          <w:sz w:val="24"/>
          <w:szCs w:val="24"/>
          <w:lang w:val="pt-BR"/>
        </w:rPr>
        <w:t xml:space="preserve"> </w:t>
      </w:r>
      <w:r w:rsidRPr="12AE42D8" w:rsidR="2C52F442">
        <w:rPr>
          <w:rFonts w:ascii="Work Sans" w:hAnsi="Work Sans" w:cs="Arial"/>
          <w:sz w:val="24"/>
          <w:szCs w:val="24"/>
          <w:highlight w:val="yellow"/>
          <w:lang w:val="pt-BR"/>
        </w:rPr>
        <w:t>Subestación</w:t>
      </w:r>
      <w:r w:rsidRPr="12AE42D8" w:rsidR="00C2431C">
        <w:rPr>
          <w:rFonts w:ascii="Work Sans" w:hAnsi="Work Sans" w:cs="Arial"/>
          <w:sz w:val="24"/>
          <w:szCs w:val="24"/>
          <w:lang w:val="pt-BR"/>
        </w:rPr>
        <w:t xml:space="preserve"> </w:t>
      </w:r>
      <w:r w:rsidRPr="12AE42D8" w:rsidR="00C2431C">
        <w:rPr>
          <w:rFonts w:ascii="Work Sans" w:hAnsi="Work Sans" w:cs="Arial"/>
          <w:sz w:val="24"/>
          <w:szCs w:val="24"/>
          <w:lang w:val="pt-BR"/>
        </w:rPr>
        <w:t>Heliconia</w:t>
      </w:r>
      <w:r w:rsidRPr="12AE42D8" w:rsidR="00C2431C">
        <w:rPr>
          <w:rFonts w:ascii="Work Sans" w:hAnsi="Work Sans" w:cs="Arial"/>
          <w:sz w:val="24"/>
          <w:szCs w:val="24"/>
          <w:lang w:val="pt-BR"/>
        </w:rPr>
        <w:t xml:space="preserve"> 500/230 kV</w:t>
      </w:r>
      <w:r w:rsidRPr="12AE42D8" w:rsidR="00C2431C">
        <w:rPr>
          <w:rFonts w:ascii="Work Sans" w:hAnsi="Work Sans" w:cs="Arial"/>
          <w:sz w:val="24"/>
          <w:szCs w:val="24"/>
          <w:lang w:val="pt-BR"/>
        </w:rPr>
        <w:t>.</w:t>
      </w:r>
    </w:p>
    <w:p w:rsidRPr="00C2431C" w:rsidR="00C2431C" w:rsidP="007250AE" w:rsidRDefault="00C2431C" w14:paraId="6ECD1D3B" w14:textId="7342DF4E">
      <w:pPr>
        <w:pStyle w:val="ListParagraph"/>
        <w:numPr>
          <w:ilvl w:val="0"/>
          <w:numId w:val="7"/>
        </w:numPr>
        <w:tabs>
          <w:tab w:val="left" w:pos="4650"/>
        </w:tabs>
        <w:spacing w:after="0"/>
        <w:ind w:right="51"/>
        <w:contextualSpacing/>
        <w:jc w:val="both"/>
        <w:rPr>
          <w:rFonts w:ascii="Work Sans" w:hAnsi="Work Sans" w:cs="Arial"/>
          <w:sz w:val="24"/>
          <w:szCs w:val="24"/>
        </w:rPr>
      </w:pPr>
      <w:r w:rsidRPr="00C2431C">
        <w:rPr>
          <w:rFonts w:ascii="Work Sans" w:hAnsi="Work Sans" w:cs="Arial"/>
          <w:sz w:val="24"/>
          <w:szCs w:val="24"/>
        </w:rPr>
        <w:t>Bahía de transformador en el barraje de 230 kV de la subestación Heliconia 500/230 kV.</w:t>
      </w:r>
    </w:p>
    <w:p w:rsidRPr="00C41788" w:rsidR="00C2431C" w:rsidP="007250AE" w:rsidRDefault="00C2431C" w14:paraId="1FAC810A" w14:textId="4230951B">
      <w:pPr>
        <w:pStyle w:val="ListParagraph"/>
        <w:numPr>
          <w:ilvl w:val="0"/>
          <w:numId w:val="7"/>
        </w:numPr>
        <w:tabs>
          <w:tab w:val="left" w:pos="4650"/>
        </w:tabs>
        <w:spacing w:after="0"/>
        <w:ind w:right="51"/>
        <w:contextualSpacing/>
        <w:jc w:val="both"/>
        <w:rPr>
          <w:rFonts w:ascii="Work Sans" w:hAnsi="Work Sans" w:cs="Arial"/>
          <w:sz w:val="24"/>
          <w:szCs w:val="24"/>
        </w:rPr>
      </w:pPr>
      <w:r w:rsidRPr="12AE42D8" w:rsidR="00C2431C">
        <w:rPr>
          <w:rFonts w:ascii="Work Sans" w:hAnsi="Work Sans" w:cs="Arial"/>
          <w:sz w:val="24"/>
          <w:szCs w:val="24"/>
        </w:rPr>
        <w:t>Bahía de transformador en el barraje de 500 kV de la subestación Heliconia 500/230 kV.</w:t>
      </w:r>
    </w:p>
    <w:p w:rsidR="36B27DAB" w:rsidP="12AE42D8" w:rsidRDefault="36B27DAB" w14:paraId="12609A2D" w14:textId="19F17443">
      <w:pPr>
        <w:pStyle w:val="ListParagraph"/>
        <w:numPr>
          <w:ilvl w:val="0"/>
          <w:numId w:val="7"/>
        </w:numPr>
        <w:tabs>
          <w:tab w:val="left" w:leader="none" w:pos="4650"/>
        </w:tabs>
        <w:spacing w:after="0"/>
        <w:ind w:right="51"/>
        <w:contextualSpacing w:val="1"/>
        <w:jc w:val="both"/>
        <w:rPr>
          <w:rFonts w:ascii="Work Sans" w:hAnsi="Work Sans" w:cs="Arial"/>
          <w:sz w:val="24"/>
          <w:szCs w:val="24"/>
        </w:rPr>
      </w:pPr>
      <w:r w:rsidRPr="12AE42D8" w:rsidR="36B27DAB">
        <w:rPr>
          <w:rFonts w:ascii="Work Sans" w:hAnsi="Work Sans" w:cs="Arial"/>
          <w:sz w:val="24"/>
          <w:szCs w:val="24"/>
        </w:rPr>
        <w:t>Segundo circuito Heliconia – Occidente 230 kV</w:t>
      </w:r>
    </w:p>
    <w:p w:rsidR="039ACED5" w:rsidP="12AE42D8" w:rsidRDefault="039ACED5" w14:paraId="32755659" w14:textId="4A883985">
      <w:pPr>
        <w:pStyle w:val="ListParagraph"/>
        <w:numPr>
          <w:ilvl w:val="0"/>
          <w:numId w:val="7"/>
        </w:numPr>
        <w:tabs>
          <w:tab w:val="left" w:leader="none" w:pos="4650"/>
        </w:tabs>
        <w:spacing w:after="0"/>
        <w:ind w:right="51"/>
        <w:contextualSpacing w:val="1"/>
        <w:jc w:val="both"/>
        <w:rPr>
          <w:rFonts w:ascii="Work Sans" w:hAnsi="Work Sans" w:cs="Arial"/>
          <w:sz w:val="24"/>
          <w:szCs w:val="24"/>
          <w:highlight w:val="yellow"/>
        </w:rPr>
      </w:pPr>
      <w:r w:rsidRPr="12AE42D8" w:rsidR="039ACED5">
        <w:rPr>
          <w:rFonts w:ascii="Work Sans" w:hAnsi="Work Sans" w:cs="Arial"/>
          <w:sz w:val="24"/>
          <w:szCs w:val="24"/>
          <w:highlight w:val="yellow"/>
        </w:rPr>
        <w:t>Construcción de una (1) bahía de línea en la subestación Heliconia 230 kV para el circuito Heliconia – Occidente 230 kV.</w:t>
      </w:r>
      <w:r w:rsidRPr="12AE42D8" w:rsidR="039ACED5">
        <w:rPr>
          <w:rFonts w:ascii="Work Sans" w:hAnsi="Work Sans" w:cs="Arial"/>
          <w:sz w:val="24"/>
          <w:szCs w:val="24"/>
        </w:rPr>
        <w:t xml:space="preserve"> </w:t>
      </w:r>
    </w:p>
    <w:p w:rsidR="039ACED5" w:rsidP="12AE42D8" w:rsidRDefault="039ACED5" w14:paraId="0AB4E423" w14:textId="5D9CA9FA">
      <w:pPr>
        <w:pStyle w:val="ListParagraph"/>
        <w:numPr>
          <w:ilvl w:val="0"/>
          <w:numId w:val="7"/>
        </w:numPr>
        <w:suppressLineNumbers w:val="0"/>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039ACED5">
        <w:rPr>
          <w:rFonts w:ascii="Work Sans" w:hAnsi="Work Sans" w:cs="Arial"/>
          <w:sz w:val="24"/>
          <w:szCs w:val="24"/>
          <w:highlight w:val="yellow"/>
        </w:rPr>
        <w:t>Construcción de una (1) bahía de línea en la subestación Occidente 230 kV para el circuito Heliconia – Occidente 230 kV.</w:t>
      </w:r>
    </w:p>
    <w:p w:rsidR="397E51D1" w:rsidP="397E51D1" w:rsidRDefault="397E51D1" w14:paraId="09758759" w14:textId="6792E17D">
      <w:pPr>
        <w:pStyle w:val="ListParagraph"/>
        <w:tabs>
          <w:tab w:val="left" w:pos="4650"/>
        </w:tabs>
        <w:spacing w:after="0"/>
        <w:ind w:left="1428" w:right="51"/>
        <w:contextualSpacing/>
        <w:jc w:val="both"/>
        <w:rPr>
          <w:rFonts w:ascii="Work Sans" w:hAnsi="Work Sans" w:cs="Arial"/>
          <w:sz w:val="24"/>
          <w:szCs w:val="24"/>
        </w:rPr>
      </w:pPr>
    </w:p>
    <w:p w:rsidR="00E53286" w:rsidP="007250AE" w:rsidRDefault="00E53286" w14:paraId="3556EB14" w14:textId="387B96E7">
      <w:pPr>
        <w:tabs>
          <w:tab w:val="left" w:pos="4650"/>
        </w:tabs>
        <w:spacing w:after="0"/>
        <w:ind w:left="708" w:right="51"/>
        <w:contextualSpacing/>
        <w:jc w:val="both"/>
        <w:rPr>
          <w:rFonts w:ascii="Work Sans" w:hAnsi="Work Sans" w:eastAsia="Work Sans" w:cs="Work San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BF13E0" w:rsidR="00BF13E0">
        <w:rPr>
          <w:rFonts w:ascii="Work Sans" w:hAnsi="Work Sans" w:eastAsia="Work Sans" w:cs="Work Sans"/>
          <w:color w:val="000000" w:themeColor="text1"/>
          <w:sz w:val="24"/>
          <w:szCs w:val="24"/>
        </w:rPr>
        <w:t>La implementación de la obra en la subestación Heliconia 500/230 kV elimina las restricciones operativas existentes, permitiendo que el sistema mantenga la operación segura incluso ante la salida de uno de los transformadores. Además, se suprime la limitación del circuito Heliconia – Occidente 230 kV en condiciones de red completa y bajo contingencia sencilla (N-1). Como resultado, se incrementa la confiabilidad y flexibilidad operativa del Sistema Interconectado Nacional en la región, se reduce el riesgo de sobrecargas y se mejora la capacidad de despacho, fortaleciendo la seguridad del suministro y la estabilidad del sistema ante escenarios de alta generación en el Oriente y baja generación en el norte de Antioquia.</w:t>
      </w:r>
    </w:p>
    <w:p w:rsidR="005A358C" w:rsidP="007250AE" w:rsidRDefault="005A358C" w14:paraId="03A48872"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E53286" w:rsidP="007250AE" w:rsidRDefault="00E53286" w14:paraId="62851B7B" w14:textId="431CD0ED">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602809">
        <w:rPr>
          <w:rFonts w:ascii="Work Sans" w:hAnsi="Work Sans" w:eastAsia="Work Sans" w:cs="Work Sans"/>
          <w:color w:val="000000" w:themeColor="text1"/>
          <w:sz w:val="24"/>
          <w:szCs w:val="24"/>
        </w:rPr>
        <w:t xml:space="preserve">es </w:t>
      </w:r>
      <w:r w:rsidRPr="00602809" w:rsidR="00D41DD2">
        <w:rPr>
          <w:rFonts w:ascii="Work Sans" w:hAnsi="Work Sans" w:eastAsia="Work Sans" w:cs="Work Sans"/>
          <w:color w:val="000000" w:themeColor="text1"/>
          <w:sz w:val="24"/>
          <w:szCs w:val="24"/>
        </w:rPr>
        <w:t>92.07</w:t>
      </w:r>
      <w:r w:rsidRPr="00602809">
        <w:rPr>
          <w:rFonts w:ascii="Work Sans" w:hAnsi="Work Sans" w:eastAsia="Work Sans" w:cs="Work Sans"/>
          <w:color w:val="000000" w:themeColor="text1"/>
          <w:sz w:val="24"/>
          <w:szCs w:val="24"/>
        </w:rPr>
        <w:t>, superior a 1.</w:t>
      </w:r>
    </w:p>
    <w:p w:rsidR="00E53286" w:rsidP="007250AE" w:rsidRDefault="00E53286" w14:paraId="35502ED7" w14:textId="77777777">
      <w:pPr>
        <w:tabs>
          <w:tab w:val="left" w:pos="4650"/>
        </w:tabs>
        <w:spacing w:after="0"/>
        <w:ind w:right="51"/>
        <w:contextualSpacing/>
        <w:jc w:val="both"/>
        <w:rPr>
          <w:rFonts w:ascii="Work Sans" w:hAnsi="Work Sans" w:cs="Arial"/>
          <w:b/>
          <w:bCs/>
          <w:sz w:val="24"/>
          <w:szCs w:val="24"/>
        </w:rPr>
      </w:pPr>
    </w:p>
    <w:p w:rsidR="00D41DD2" w:rsidP="12AE42D8" w:rsidRDefault="000B4806" w14:paraId="771BC565" w14:textId="18168ABB">
      <w:pPr>
        <w:tabs>
          <w:tab w:val="left" w:pos="4650"/>
        </w:tabs>
        <w:spacing w:after="0"/>
        <w:ind w:right="51"/>
        <w:contextualSpacing w:val="1"/>
        <w:jc w:val="both"/>
        <w:rPr>
          <w:rFonts w:ascii="Work Sans" w:hAnsi="Work Sans" w:cs="Arial"/>
          <w:b w:val="1"/>
          <w:bCs w:val="1"/>
          <w:sz w:val="24"/>
          <w:szCs w:val="24"/>
          <w:u w:val="single"/>
        </w:rPr>
      </w:pPr>
      <w:r w:rsidRPr="12AE42D8" w:rsidR="000B4806">
        <w:rPr>
          <w:rFonts w:ascii="Work Sans" w:hAnsi="Work Sans" w:cs="Arial"/>
          <w:b w:val="1"/>
          <w:bCs w:val="1"/>
          <w:sz w:val="24"/>
          <w:szCs w:val="24"/>
          <w:u w:val="single"/>
        </w:rPr>
        <w:t>Interconexión Antioquia</w:t>
      </w:r>
      <w:r w:rsidRPr="12AE42D8" w:rsidR="324DC7F5">
        <w:rPr>
          <w:rFonts w:ascii="Work Sans" w:hAnsi="Work Sans" w:cs="Arial"/>
          <w:b w:val="1"/>
          <w:bCs w:val="1"/>
          <w:sz w:val="24"/>
          <w:szCs w:val="24"/>
          <w:u w:val="single"/>
        </w:rPr>
        <w:t xml:space="preserve"> </w:t>
      </w:r>
      <w:r w:rsidRPr="12AE42D8" w:rsidR="000B4806">
        <w:rPr>
          <w:rFonts w:ascii="Work Sans" w:hAnsi="Work Sans" w:cs="Arial"/>
          <w:b w:val="1"/>
          <w:bCs w:val="1"/>
          <w:sz w:val="24"/>
          <w:szCs w:val="24"/>
          <w:u w:val="single"/>
        </w:rPr>
        <w:t>-</w:t>
      </w:r>
      <w:r w:rsidRPr="12AE42D8" w:rsidR="324DC7F5">
        <w:rPr>
          <w:rFonts w:ascii="Work Sans" w:hAnsi="Work Sans" w:cs="Arial"/>
          <w:b w:val="1"/>
          <w:bCs w:val="1"/>
          <w:sz w:val="24"/>
          <w:szCs w:val="24"/>
          <w:u w:val="single"/>
        </w:rPr>
        <w:t xml:space="preserve"> </w:t>
      </w:r>
      <w:r w:rsidRPr="12AE42D8" w:rsidR="000B4806">
        <w:rPr>
          <w:rFonts w:ascii="Work Sans" w:hAnsi="Work Sans" w:cs="Arial"/>
          <w:b w:val="1"/>
          <w:bCs w:val="1"/>
          <w:sz w:val="24"/>
          <w:szCs w:val="24"/>
          <w:u w:val="single"/>
        </w:rPr>
        <w:t>Oriental – Nueva subestación La Montera 500/230 kV</w:t>
      </w:r>
      <w:r w:rsidRPr="12AE42D8" w:rsidR="52AD94F5">
        <w:rPr>
          <w:rFonts w:ascii="Work Sans" w:hAnsi="Work Sans" w:cs="Arial"/>
          <w:b w:val="1"/>
          <w:bCs w:val="1"/>
          <w:sz w:val="24"/>
          <w:szCs w:val="24"/>
          <w:u w:val="single"/>
        </w:rPr>
        <w:t xml:space="preserve"> </w:t>
      </w:r>
      <w:r w:rsidRPr="12AE42D8" w:rsidR="52AD94F5">
        <w:rPr>
          <w:rFonts w:ascii="Work Sans" w:hAnsi="Work Sans" w:cs="Arial"/>
          <w:b w:val="1"/>
          <w:bCs w:val="1"/>
          <w:sz w:val="24"/>
          <w:szCs w:val="24"/>
          <w:highlight w:val="yellow"/>
          <w:u w:val="single"/>
        </w:rPr>
        <w:t>y obras asociadas</w:t>
      </w:r>
    </w:p>
    <w:p w:rsidR="397E51D1" w:rsidP="397E51D1" w:rsidRDefault="397E51D1" w14:paraId="6E1A4E3C" w14:textId="047CAFE3">
      <w:pPr>
        <w:tabs>
          <w:tab w:val="left" w:pos="4650"/>
        </w:tabs>
        <w:spacing w:after="0"/>
        <w:ind w:right="51"/>
        <w:contextualSpacing/>
        <w:jc w:val="both"/>
        <w:rPr>
          <w:rFonts w:ascii="Work Sans" w:hAnsi="Work Sans" w:cs="Arial"/>
          <w:b/>
          <w:bCs/>
          <w:sz w:val="24"/>
          <w:szCs w:val="24"/>
          <w:u w:val="single"/>
        </w:rPr>
      </w:pPr>
    </w:p>
    <w:p w:rsidR="00D41DD2" w:rsidP="007250AE" w:rsidRDefault="00D41DD2" w14:paraId="3FD8AE19" w14:textId="2CA2BCB7">
      <w:pPr>
        <w:tabs>
          <w:tab w:val="left" w:pos="4650"/>
        </w:tabs>
        <w:spacing w:after="0"/>
        <w:ind w:left="708" w:right="51"/>
        <w:contextualSpacing/>
        <w:jc w:val="both"/>
        <w:rPr>
          <w:rFonts w:ascii="Work Sans" w:hAnsi="Work Sans" w:cs="Arial"/>
          <w:b/>
          <w:bCs/>
          <w:sz w:val="24"/>
          <w:szCs w:val="24"/>
        </w:rPr>
      </w:pPr>
      <w:r w:rsidRPr="397E51D1">
        <w:rPr>
          <w:rFonts w:ascii="Work Sans" w:hAnsi="Work Sans" w:cs="Arial"/>
          <w:b/>
          <w:bCs/>
          <w:sz w:val="24"/>
          <w:szCs w:val="24"/>
        </w:rPr>
        <w:t>Alcance:</w:t>
      </w:r>
      <w:r w:rsidRPr="397E51D1" w:rsidR="00AD5B00">
        <w:rPr>
          <w:rFonts w:ascii="Work Sans" w:hAnsi="Work Sans" w:cs="Arial"/>
          <w:sz w:val="24"/>
          <w:szCs w:val="24"/>
        </w:rPr>
        <w:t xml:space="preserve"> La obra comprende las intervenciones descritas a continuación:</w:t>
      </w:r>
    </w:p>
    <w:p w:rsidR="397E51D1" w:rsidP="397E51D1" w:rsidRDefault="397E51D1" w14:paraId="1D8FCC78" w14:textId="40DBA130">
      <w:pPr>
        <w:tabs>
          <w:tab w:val="left" w:pos="4650"/>
        </w:tabs>
        <w:spacing w:after="0"/>
        <w:ind w:left="708" w:right="51"/>
        <w:contextualSpacing/>
        <w:jc w:val="both"/>
        <w:rPr>
          <w:rFonts w:ascii="Work Sans" w:hAnsi="Work Sans" w:cs="Arial"/>
          <w:sz w:val="24"/>
          <w:szCs w:val="24"/>
        </w:rPr>
      </w:pPr>
    </w:p>
    <w:p w:rsidRPr="00230995" w:rsidR="00BF2BEE" w:rsidP="12AE42D8" w:rsidRDefault="00BF2BEE" w14:paraId="2015ADA0" w14:textId="0C824F1A">
      <w:pPr>
        <w:pStyle w:val="ListParagraph"/>
        <w:numPr>
          <w:ilvl w:val="0"/>
          <w:numId w:val="11"/>
        </w:numPr>
        <w:tabs>
          <w:tab w:val="left" w:pos="4650"/>
        </w:tabs>
        <w:spacing w:after="0"/>
        <w:ind w:right="51"/>
        <w:contextualSpacing w:val="1"/>
        <w:jc w:val="both"/>
        <w:rPr>
          <w:rFonts w:ascii="Work Sans" w:hAnsi="Work Sans" w:cs="Arial"/>
          <w:sz w:val="24"/>
          <w:szCs w:val="24"/>
        </w:rPr>
      </w:pPr>
      <w:r w:rsidRPr="12AE42D8" w:rsidR="458EB2F6">
        <w:rPr>
          <w:rFonts w:ascii="Work Sans" w:hAnsi="Work Sans" w:cs="Arial"/>
          <w:sz w:val="24"/>
          <w:szCs w:val="24"/>
        </w:rPr>
        <w:t>S</w:t>
      </w:r>
      <w:r w:rsidRPr="12AE42D8" w:rsidR="00BF2BEE">
        <w:rPr>
          <w:rFonts w:ascii="Work Sans" w:hAnsi="Work Sans" w:cs="Arial"/>
          <w:sz w:val="24"/>
          <w:szCs w:val="24"/>
        </w:rPr>
        <w:t>ubestación La Montera 500 kV mediante la intercepción del circuito Antioquia - Porce III 500 kV, generando las líneas Antioquia - La Montera 500 kV y La Montera - Porce III 500 kV.</w:t>
      </w:r>
    </w:p>
    <w:p w:rsidRPr="00230995" w:rsidR="0060173E" w:rsidP="12AE42D8" w:rsidRDefault="00BF2BEE" w14:paraId="7CA68400" w14:textId="725C21B0">
      <w:pPr>
        <w:pStyle w:val="ListParagraph"/>
        <w:numPr>
          <w:ilvl w:val="0"/>
          <w:numId w:val="11"/>
        </w:numPr>
        <w:tabs>
          <w:tab w:val="left" w:pos="4650"/>
        </w:tabs>
        <w:spacing w:after="0"/>
        <w:ind w:right="51"/>
        <w:contextualSpacing w:val="1"/>
        <w:jc w:val="both"/>
        <w:rPr>
          <w:rFonts w:ascii="Work Sans" w:hAnsi="Work Sans" w:cs="Arial"/>
          <w:sz w:val="24"/>
          <w:szCs w:val="24"/>
        </w:rPr>
      </w:pPr>
      <w:r w:rsidRPr="12AE42D8" w:rsidR="0A647AB3">
        <w:rPr>
          <w:rFonts w:ascii="Work Sans" w:hAnsi="Work Sans" w:cs="Arial"/>
          <w:sz w:val="24"/>
          <w:szCs w:val="24"/>
        </w:rPr>
        <w:t>S</w:t>
      </w:r>
      <w:r w:rsidRPr="12AE42D8" w:rsidR="00BF2BEE">
        <w:rPr>
          <w:rFonts w:ascii="Work Sans" w:hAnsi="Work Sans" w:cs="Arial"/>
          <w:sz w:val="24"/>
          <w:szCs w:val="24"/>
        </w:rPr>
        <w:t xml:space="preserve">ubestación La Montera 230 kV, reconfigurando los circuitos Porce – Barbosa 220 kV, Bello – El Salto 220 kV, Guadalupe IV – Barbosa 220 kV y Guadalupe IV – Occidente 220 kV en La Montera - Porce II </w:t>
      </w:r>
      <w:r w:rsidRPr="12AE42D8" w:rsidR="00BF2BEE">
        <w:rPr>
          <w:rFonts w:ascii="Work Sans" w:hAnsi="Work Sans" w:cs="Arial"/>
          <w:sz w:val="24"/>
          <w:szCs w:val="24"/>
          <w:highlight w:val="yellow"/>
        </w:rPr>
        <w:t>2</w:t>
      </w:r>
      <w:r w:rsidRPr="12AE42D8" w:rsidR="00EB365D">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La Montera - Guadalupe IV 1 </w:t>
      </w:r>
      <w:r w:rsidRPr="12AE42D8" w:rsidR="00BF2BEE">
        <w:rPr>
          <w:rFonts w:ascii="Work Sans" w:hAnsi="Work Sans" w:cs="Arial"/>
          <w:sz w:val="24"/>
          <w:szCs w:val="24"/>
          <w:highlight w:val="yellow"/>
        </w:rPr>
        <w:t>2</w:t>
      </w:r>
      <w:r w:rsidRPr="12AE42D8" w:rsidR="00D3629B">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La Montera - Guadalupe IV 2 </w:t>
      </w:r>
      <w:r w:rsidRPr="12AE42D8" w:rsidR="00BF2BEE">
        <w:rPr>
          <w:rFonts w:ascii="Work Sans" w:hAnsi="Work Sans" w:cs="Arial"/>
          <w:sz w:val="24"/>
          <w:szCs w:val="24"/>
          <w:highlight w:val="yellow"/>
        </w:rPr>
        <w:t>2</w:t>
      </w:r>
      <w:r w:rsidRPr="12AE42D8" w:rsidR="00637293">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La Montera - El Salto </w:t>
      </w:r>
      <w:r w:rsidRPr="12AE42D8" w:rsidR="00BF2BEE">
        <w:rPr>
          <w:rFonts w:ascii="Work Sans" w:hAnsi="Work Sans" w:cs="Arial"/>
          <w:sz w:val="24"/>
          <w:szCs w:val="24"/>
          <w:highlight w:val="yellow"/>
        </w:rPr>
        <w:t>2</w:t>
      </w:r>
      <w:r w:rsidRPr="12AE42D8" w:rsidR="00637293">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La Montera – Barbosa 1 </w:t>
      </w:r>
      <w:r w:rsidRPr="12AE42D8" w:rsidR="00BF2BEE">
        <w:rPr>
          <w:rFonts w:ascii="Work Sans" w:hAnsi="Work Sans" w:cs="Arial"/>
          <w:sz w:val="24"/>
          <w:szCs w:val="24"/>
          <w:highlight w:val="yellow"/>
        </w:rPr>
        <w:t>2</w:t>
      </w:r>
      <w:r w:rsidRPr="12AE42D8" w:rsidR="00637293">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La Montera – Barbosa 2 </w:t>
      </w:r>
      <w:r w:rsidRPr="12AE42D8" w:rsidR="00BF2BEE">
        <w:rPr>
          <w:rFonts w:ascii="Work Sans" w:hAnsi="Work Sans" w:cs="Arial"/>
          <w:sz w:val="24"/>
          <w:szCs w:val="24"/>
          <w:highlight w:val="yellow"/>
        </w:rPr>
        <w:t>2</w:t>
      </w:r>
      <w:r w:rsidRPr="12AE42D8" w:rsidR="00742BDF">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La Montera - Bello </w:t>
      </w:r>
      <w:r w:rsidRPr="12AE42D8" w:rsidR="00BF2BEE">
        <w:rPr>
          <w:rFonts w:ascii="Work Sans" w:hAnsi="Work Sans" w:cs="Arial"/>
          <w:sz w:val="24"/>
          <w:szCs w:val="24"/>
          <w:highlight w:val="yellow"/>
        </w:rPr>
        <w:t>2</w:t>
      </w:r>
      <w:r w:rsidRPr="12AE42D8" w:rsidR="00742BDF">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 xml:space="preserve"> y La Montera - Occidente </w:t>
      </w:r>
      <w:r w:rsidRPr="12AE42D8" w:rsidR="00BF2BEE">
        <w:rPr>
          <w:rFonts w:ascii="Work Sans" w:hAnsi="Work Sans" w:cs="Arial"/>
          <w:sz w:val="24"/>
          <w:szCs w:val="24"/>
          <w:highlight w:val="yellow"/>
        </w:rPr>
        <w:t>2</w:t>
      </w:r>
      <w:r w:rsidRPr="12AE42D8" w:rsidR="00742BDF">
        <w:rPr>
          <w:rFonts w:ascii="Work Sans" w:hAnsi="Work Sans" w:cs="Arial"/>
          <w:sz w:val="24"/>
          <w:szCs w:val="24"/>
          <w:highlight w:val="yellow"/>
        </w:rPr>
        <w:t>3</w:t>
      </w:r>
      <w:r w:rsidRPr="12AE42D8" w:rsidR="00BF2BEE">
        <w:rPr>
          <w:rFonts w:ascii="Work Sans" w:hAnsi="Work Sans" w:cs="Arial"/>
          <w:sz w:val="24"/>
          <w:szCs w:val="24"/>
          <w:highlight w:val="yellow"/>
        </w:rPr>
        <w:t>0 kV</w:t>
      </w:r>
      <w:r w:rsidRPr="12AE42D8" w:rsidR="00BF2BEE">
        <w:rPr>
          <w:rFonts w:ascii="Work Sans" w:hAnsi="Work Sans" w:cs="Arial"/>
          <w:sz w:val="24"/>
          <w:szCs w:val="24"/>
        </w:rPr>
        <w:t>.</w:t>
      </w:r>
    </w:p>
    <w:p w:rsidRPr="00230995" w:rsidR="0060173E" w:rsidP="007250AE" w:rsidRDefault="00BF2BEE" w14:paraId="1C0F5121" w14:textId="228E57B3">
      <w:pPr>
        <w:pStyle w:val="ListParagraph"/>
        <w:numPr>
          <w:ilvl w:val="0"/>
          <w:numId w:val="11"/>
        </w:numPr>
        <w:tabs>
          <w:tab w:val="left" w:pos="4650"/>
        </w:tabs>
        <w:spacing w:after="0"/>
        <w:ind w:right="51"/>
        <w:contextualSpacing/>
        <w:jc w:val="both"/>
        <w:rPr>
          <w:rFonts w:ascii="Work Sans" w:hAnsi="Work Sans" w:cs="Arial"/>
          <w:sz w:val="24"/>
          <w:szCs w:val="24"/>
        </w:rPr>
      </w:pPr>
      <w:r w:rsidRPr="00230995">
        <w:rPr>
          <w:rFonts w:ascii="Work Sans" w:hAnsi="Work Sans" w:cs="Arial"/>
          <w:sz w:val="24"/>
          <w:szCs w:val="24"/>
        </w:rPr>
        <w:t>Nuevo doble circuito Corzo – La Montera 500 kV, conformado por dos circuitos, cada uno con una capacidad mínima de 2400 Amperios.</w:t>
      </w:r>
    </w:p>
    <w:p w:rsidRPr="00230995" w:rsidR="00230995" w:rsidP="12AE42D8" w:rsidRDefault="00BF2BEE" w14:paraId="06AA6B82" w14:textId="3BFB8899">
      <w:pPr>
        <w:pStyle w:val="ListParagraph"/>
        <w:numPr>
          <w:ilvl w:val="0"/>
          <w:numId w:val="11"/>
        </w:numPr>
        <w:tabs>
          <w:tab w:val="left" w:pos="4650"/>
        </w:tabs>
        <w:spacing w:after="0"/>
        <w:ind w:right="51"/>
        <w:contextualSpacing w:val="1"/>
        <w:jc w:val="both"/>
        <w:rPr>
          <w:rFonts w:ascii="Work Sans" w:hAnsi="Work Sans" w:cs="Arial"/>
          <w:sz w:val="24"/>
          <w:szCs w:val="24"/>
        </w:rPr>
      </w:pPr>
      <w:r w:rsidRPr="12AE42D8" w:rsidR="00BF2BEE">
        <w:rPr>
          <w:rFonts w:ascii="Work Sans" w:hAnsi="Work Sans" w:cs="Arial"/>
          <w:sz w:val="24"/>
          <w:szCs w:val="24"/>
        </w:rPr>
        <w:t xml:space="preserve">3 </w:t>
      </w:r>
      <w:r w:rsidRPr="12AE42D8" w:rsidR="7D246514">
        <w:rPr>
          <w:rFonts w:ascii="Work Sans" w:hAnsi="Work Sans" w:cs="Arial"/>
          <w:sz w:val="24"/>
          <w:szCs w:val="24"/>
          <w:highlight w:val="yellow"/>
        </w:rPr>
        <w:t>bancos de auto</w:t>
      </w:r>
      <w:r w:rsidRPr="12AE42D8" w:rsidR="00BF2BEE">
        <w:rPr>
          <w:rFonts w:ascii="Work Sans" w:hAnsi="Work Sans" w:cs="Arial"/>
          <w:sz w:val="24"/>
          <w:szCs w:val="24"/>
        </w:rPr>
        <w:t xml:space="preserve">transformadores </w:t>
      </w:r>
      <w:r w:rsidRPr="12AE42D8" w:rsidR="2B408E36">
        <w:rPr>
          <w:rFonts w:ascii="Work Sans" w:hAnsi="Work Sans" w:cs="Arial"/>
          <w:sz w:val="24"/>
          <w:szCs w:val="24"/>
          <w:highlight w:val="yellow"/>
        </w:rPr>
        <w:t>monofásicos</w:t>
      </w:r>
      <w:r w:rsidRPr="12AE42D8" w:rsidR="2B408E36">
        <w:rPr>
          <w:rFonts w:ascii="Work Sans" w:hAnsi="Work Sans" w:cs="Arial"/>
          <w:sz w:val="24"/>
          <w:szCs w:val="24"/>
        </w:rPr>
        <w:t xml:space="preserve"> </w:t>
      </w:r>
      <w:r w:rsidRPr="12AE42D8" w:rsidR="00BF2BEE">
        <w:rPr>
          <w:rFonts w:ascii="Work Sans" w:hAnsi="Work Sans" w:cs="Arial"/>
          <w:sz w:val="24"/>
          <w:szCs w:val="24"/>
        </w:rPr>
        <w:t>500/230</w:t>
      </w:r>
      <w:r w:rsidRPr="12AE42D8" w:rsidR="00460CB4">
        <w:rPr>
          <w:rFonts w:ascii="Work Sans" w:hAnsi="Work Sans" w:cs="Arial"/>
          <w:sz w:val="24"/>
          <w:szCs w:val="24"/>
        </w:rPr>
        <w:t xml:space="preserve"> kV</w:t>
      </w:r>
      <w:r w:rsidRPr="12AE42D8" w:rsidR="00144C6C">
        <w:rPr>
          <w:rFonts w:ascii="Work Sans" w:hAnsi="Work Sans" w:cs="Arial"/>
          <w:sz w:val="24"/>
          <w:szCs w:val="24"/>
        </w:rPr>
        <w:t xml:space="preserve"> </w:t>
      </w:r>
      <w:r w:rsidRPr="12AE42D8" w:rsidR="00BF2BEE">
        <w:rPr>
          <w:rFonts w:ascii="Work Sans" w:hAnsi="Work Sans" w:cs="Arial"/>
          <w:sz w:val="24"/>
          <w:szCs w:val="24"/>
        </w:rPr>
        <w:t>de 450 MVA cada uno, en la subestación La Montera.</w:t>
      </w:r>
    </w:p>
    <w:p w:rsidRPr="00230995" w:rsidR="00230995" w:rsidP="007250AE" w:rsidRDefault="00BF2BEE" w14:paraId="01BE8DFC" w14:textId="66B8EEAF">
      <w:pPr>
        <w:pStyle w:val="ListParagraph"/>
        <w:numPr>
          <w:ilvl w:val="0"/>
          <w:numId w:val="11"/>
        </w:numPr>
        <w:tabs>
          <w:tab w:val="left" w:pos="4650"/>
        </w:tabs>
        <w:spacing w:after="0"/>
        <w:ind w:right="51"/>
        <w:contextualSpacing/>
        <w:jc w:val="both"/>
        <w:rPr>
          <w:rFonts w:ascii="Work Sans" w:hAnsi="Work Sans" w:cs="Arial"/>
          <w:sz w:val="24"/>
          <w:szCs w:val="24"/>
        </w:rPr>
      </w:pPr>
      <w:r w:rsidRPr="00230995">
        <w:rPr>
          <w:rFonts w:ascii="Work Sans" w:hAnsi="Work Sans" w:cs="Arial"/>
          <w:sz w:val="24"/>
          <w:szCs w:val="24"/>
        </w:rPr>
        <w:t xml:space="preserve">Instalación de </w:t>
      </w:r>
      <w:r w:rsidR="00B21A56">
        <w:rPr>
          <w:rFonts w:ascii="Work Sans" w:hAnsi="Work Sans" w:cs="Arial"/>
          <w:sz w:val="24"/>
          <w:szCs w:val="24"/>
        </w:rPr>
        <w:t>4</w:t>
      </w:r>
      <w:r w:rsidRPr="00230995">
        <w:rPr>
          <w:rFonts w:ascii="Work Sans" w:hAnsi="Work Sans" w:cs="Arial"/>
          <w:sz w:val="24"/>
          <w:szCs w:val="24"/>
        </w:rPr>
        <w:t xml:space="preserve"> reactores de línea de 116 </w:t>
      </w:r>
      <w:proofErr w:type="spellStart"/>
      <w:r w:rsidRPr="00230995">
        <w:rPr>
          <w:rFonts w:ascii="Work Sans" w:hAnsi="Work Sans" w:cs="Arial"/>
          <w:sz w:val="24"/>
          <w:szCs w:val="24"/>
        </w:rPr>
        <w:t>MVAr</w:t>
      </w:r>
      <w:proofErr w:type="spellEnd"/>
      <w:r w:rsidRPr="00230995">
        <w:rPr>
          <w:rFonts w:ascii="Work Sans" w:hAnsi="Work Sans" w:cs="Arial"/>
          <w:sz w:val="24"/>
          <w:szCs w:val="24"/>
        </w:rPr>
        <w:t xml:space="preserve"> en los extremos del doble circuito La Montera – Corzo 500 kV.</w:t>
      </w:r>
    </w:p>
    <w:p w:rsidR="00BF2BEE" w:rsidP="007250AE" w:rsidRDefault="00BF2BEE" w14:paraId="1A88AF82" w14:textId="0851DD9C">
      <w:pPr>
        <w:pStyle w:val="ListParagraph"/>
        <w:numPr>
          <w:ilvl w:val="0"/>
          <w:numId w:val="11"/>
        </w:numPr>
        <w:tabs>
          <w:tab w:val="left" w:pos="4650"/>
        </w:tabs>
        <w:spacing w:after="0"/>
        <w:ind w:right="51"/>
        <w:contextualSpacing/>
        <w:jc w:val="both"/>
        <w:rPr>
          <w:rFonts w:ascii="Work Sans" w:hAnsi="Work Sans" w:cs="Arial"/>
          <w:sz w:val="24"/>
          <w:szCs w:val="24"/>
        </w:rPr>
      </w:pPr>
      <w:r w:rsidRPr="00230995">
        <w:rPr>
          <w:rFonts w:ascii="Work Sans" w:hAnsi="Work Sans" w:cs="Arial"/>
          <w:sz w:val="24"/>
          <w:szCs w:val="24"/>
        </w:rPr>
        <w:t xml:space="preserve">Instalación de dos (2) reactores de línea de 40 </w:t>
      </w:r>
      <w:proofErr w:type="spellStart"/>
      <w:r w:rsidRPr="00230995">
        <w:rPr>
          <w:rFonts w:ascii="Work Sans" w:hAnsi="Work Sans" w:cs="Arial"/>
          <w:sz w:val="24"/>
          <w:szCs w:val="24"/>
        </w:rPr>
        <w:t>MVAr</w:t>
      </w:r>
      <w:proofErr w:type="spellEnd"/>
      <w:r w:rsidRPr="00230995">
        <w:rPr>
          <w:rFonts w:ascii="Work Sans" w:hAnsi="Work Sans" w:cs="Arial"/>
          <w:sz w:val="24"/>
          <w:szCs w:val="24"/>
        </w:rPr>
        <w:t xml:space="preserve"> en el extremo de la subestación La Montera 500 kV, para los circuitos Antioquia – La Montera 500 kV y La Montera – Porce III 500 kV.</w:t>
      </w:r>
    </w:p>
    <w:p w:rsidRPr="00230995" w:rsidR="007250AE" w:rsidP="007250AE" w:rsidRDefault="007250AE" w14:paraId="60739459" w14:textId="77777777">
      <w:pPr>
        <w:pStyle w:val="ListParagraph"/>
        <w:tabs>
          <w:tab w:val="left" w:pos="4650"/>
        </w:tabs>
        <w:spacing w:after="0"/>
        <w:ind w:left="1428" w:right="51"/>
        <w:contextualSpacing/>
        <w:jc w:val="both"/>
        <w:rPr>
          <w:rFonts w:ascii="Work Sans" w:hAnsi="Work Sans" w:cs="Arial"/>
          <w:sz w:val="24"/>
          <w:szCs w:val="24"/>
        </w:rPr>
      </w:pPr>
    </w:p>
    <w:p w:rsidR="004A3704" w:rsidP="007250AE" w:rsidRDefault="00D41DD2" w14:paraId="7E117FB0" w14:textId="77777777">
      <w:pPr>
        <w:tabs>
          <w:tab w:val="left" w:pos="4650"/>
        </w:tabs>
        <w:spacing w:after="0"/>
        <w:ind w:left="708" w:right="51"/>
        <w:contextualSpacing/>
        <w:jc w:val="both"/>
        <w:rPr>
          <w:rFonts w:ascii="Work Sans" w:hAnsi="Work Sans" w:eastAsia="Work Sans" w:cs="Work San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4A3704" w:rsidR="004A3704">
        <w:rPr>
          <w:rFonts w:ascii="Work Sans" w:hAnsi="Work Sans" w:eastAsia="Work Sans" w:cs="Work Sans"/>
          <w:color w:val="000000" w:themeColor="text1"/>
          <w:sz w:val="24"/>
          <w:szCs w:val="24"/>
        </w:rPr>
        <w:t xml:space="preserve">La implementación de la obra permite reducir las altas </w:t>
      </w:r>
      <w:proofErr w:type="spellStart"/>
      <w:r w:rsidRPr="004A3704" w:rsidR="004A3704">
        <w:rPr>
          <w:rFonts w:ascii="Work Sans" w:hAnsi="Work Sans" w:eastAsia="Work Sans" w:cs="Work Sans"/>
          <w:color w:val="000000" w:themeColor="text1"/>
          <w:sz w:val="24"/>
          <w:szCs w:val="24"/>
        </w:rPr>
        <w:t>cargabilidades</w:t>
      </w:r>
      <w:proofErr w:type="spellEnd"/>
      <w:r w:rsidRPr="004A3704" w:rsidR="004A3704">
        <w:rPr>
          <w:rFonts w:ascii="Work Sans" w:hAnsi="Work Sans" w:eastAsia="Work Sans" w:cs="Work Sans"/>
          <w:color w:val="000000" w:themeColor="text1"/>
          <w:sz w:val="24"/>
          <w:szCs w:val="24"/>
        </w:rPr>
        <w:t xml:space="preserve"> en los transformadores de las subestaciones Heliconia 500/230 kV y San Carlos 500/230 kV ante la salida de uno de ellos, eliminar las restricciones existentes en los circuitos Heliconia – Occidente 230 kV y </w:t>
      </w:r>
      <w:proofErr w:type="spellStart"/>
      <w:r w:rsidRPr="004A3704" w:rsidR="004A3704">
        <w:rPr>
          <w:rFonts w:ascii="Work Sans" w:hAnsi="Work Sans" w:eastAsia="Work Sans" w:cs="Work Sans"/>
          <w:color w:val="000000" w:themeColor="text1"/>
          <w:sz w:val="24"/>
          <w:szCs w:val="24"/>
        </w:rPr>
        <w:t>Ancon</w:t>
      </w:r>
      <w:proofErr w:type="spellEnd"/>
      <w:r w:rsidRPr="004A3704" w:rsidR="004A3704">
        <w:rPr>
          <w:rFonts w:ascii="Work Sans" w:hAnsi="Work Sans" w:eastAsia="Work Sans" w:cs="Work Sans"/>
          <w:color w:val="000000" w:themeColor="text1"/>
          <w:sz w:val="24"/>
          <w:szCs w:val="24"/>
        </w:rPr>
        <w:t xml:space="preserve"> Sur – Heliconia 1 230 kV bajo contingencias sencillas, y mejorar los perfiles de tensión en el área Antioquia a nivel de 500 kV incluso bajo escenarios N-1. Estos impactos fortalecen la confiabilidad y robustez del sistema, optimizan la operación del despacho y aumentan la capacidad de transmitir y aprovechar el excedente de generación del área Antioquia–Chocó hacia otras regiones del país.</w:t>
      </w:r>
    </w:p>
    <w:p w:rsidR="004A3704" w:rsidP="007250AE" w:rsidRDefault="004A3704" w14:paraId="7A41F540" w14:textId="77777777">
      <w:pPr>
        <w:tabs>
          <w:tab w:val="left" w:pos="4650"/>
        </w:tabs>
        <w:spacing w:after="0"/>
        <w:ind w:left="708" w:right="51"/>
        <w:contextualSpacing/>
        <w:jc w:val="both"/>
        <w:rPr>
          <w:rFonts w:ascii="Work Sans" w:hAnsi="Work Sans" w:eastAsia="Work Sans" w:cs="Work Sans"/>
          <w:b/>
          <w:bCs/>
          <w:color w:val="000000" w:themeColor="text1"/>
          <w:sz w:val="24"/>
          <w:szCs w:val="24"/>
        </w:rPr>
      </w:pPr>
    </w:p>
    <w:p w:rsidRPr="006936D0" w:rsidR="00D41DD2" w:rsidP="007250AE" w:rsidRDefault="00D41DD2" w14:paraId="65E3C820" w14:textId="005C9161">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lastRenderedPageBreak/>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354F40">
        <w:rPr>
          <w:rFonts w:ascii="Work Sans" w:hAnsi="Work Sans" w:eastAsia="Work Sans" w:cs="Work Sans"/>
          <w:color w:val="000000" w:themeColor="text1"/>
          <w:sz w:val="24"/>
          <w:szCs w:val="24"/>
        </w:rPr>
        <w:t xml:space="preserve">es </w:t>
      </w:r>
      <w:r w:rsidRPr="00354F40" w:rsidR="002F2595">
        <w:rPr>
          <w:rFonts w:ascii="Work Sans" w:hAnsi="Work Sans" w:eastAsia="Work Sans" w:cs="Work Sans"/>
          <w:color w:val="000000" w:themeColor="text1"/>
          <w:sz w:val="24"/>
          <w:szCs w:val="24"/>
        </w:rPr>
        <w:t>11.08</w:t>
      </w:r>
      <w:r w:rsidRPr="00354F40">
        <w:rPr>
          <w:rFonts w:ascii="Work Sans" w:hAnsi="Work Sans" w:eastAsia="Work Sans" w:cs="Work Sans"/>
          <w:color w:val="000000" w:themeColor="text1"/>
          <w:sz w:val="24"/>
          <w:szCs w:val="24"/>
        </w:rPr>
        <w:t>, superior a 1.</w:t>
      </w:r>
    </w:p>
    <w:p w:rsidR="00D41DD2" w:rsidP="007250AE" w:rsidRDefault="00D41DD2" w14:paraId="548D3B38" w14:textId="77777777">
      <w:pPr>
        <w:tabs>
          <w:tab w:val="left" w:pos="4650"/>
        </w:tabs>
        <w:spacing w:after="0"/>
        <w:ind w:right="51"/>
        <w:contextualSpacing/>
        <w:jc w:val="both"/>
        <w:rPr>
          <w:rFonts w:ascii="Work Sans" w:hAnsi="Work Sans" w:cs="Arial"/>
          <w:b/>
          <w:bCs/>
          <w:sz w:val="24"/>
          <w:szCs w:val="24"/>
        </w:rPr>
      </w:pPr>
    </w:p>
    <w:p w:rsidR="00C218E4" w:rsidP="12AE42D8" w:rsidRDefault="00110A55" w14:paraId="719CB16F" w14:textId="178A8C83">
      <w:pPr>
        <w:tabs>
          <w:tab w:val="left" w:pos="4650"/>
        </w:tabs>
        <w:spacing w:after="0"/>
        <w:ind w:right="51"/>
        <w:contextualSpacing w:val="1"/>
        <w:jc w:val="both"/>
        <w:rPr>
          <w:rFonts w:ascii="Work Sans" w:hAnsi="Work Sans" w:cs="Arial"/>
          <w:b w:val="1"/>
          <w:bCs w:val="1"/>
          <w:sz w:val="24"/>
          <w:szCs w:val="24"/>
          <w:u w:val="single"/>
        </w:rPr>
      </w:pPr>
      <w:r w:rsidRPr="12AE42D8" w:rsidR="00110A55">
        <w:rPr>
          <w:rFonts w:ascii="Work Sans" w:hAnsi="Work Sans" w:cs="Arial"/>
          <w:b w:val="1"/>
          <w:bCs w:val="1"/>
          <w:sz w:val="24"/>
          <w:szCs w:val="24"/>
          <w:u w:val="single"/>
        </w:rPr>
        <w:t>Subestación Puerto Gaitán 230 kV y obras asociadas</w:t>
      </w:r>
    </w:p>
    <w:p w:rsidR="397E51D1" w:rsidP="397E51D1" w:rsidRDefault="397E51D1" w14:paraId="27A86CCD" w14:textId="3F95582E">
      <w:pPr>
        <w:tabs>
          <w:tab w:val="left" w:pos="4650"/>
        </w:tabs>
        <w:spacing w:after="0"/>
        <w:ind w:right="51"/>
        <w:contextualSpacing/>
        <w:jc w:val="both"/>
        <w:rPr>
          <w:rFonts w:ascii="Work Sans" w:hAnsi="Work Sans" w:cs="Arial"/>
          <w:b/>
          <w:bCs/>
          <w:sz w:val="24"/>
          <w:szCs w:val="24"/>
          <w:u w:val="single"/>
        </w:rPr>
      </w:pPr>
    </w:p>
    <w:p w:rsidRPr="00AD5B00" w:rsidR="00C218E4" w:rsidP="007250AE" w:rsidRDefault="00C218E4" w14:paraId="187FF203" w14:textId="60719FA0">
      <w:pPr>
        <w:tabs>
          <w:tab w:val="left" w:pos="4650"/>
        </w:tabs>
        <w:spacing w:after="0"/>
        <w:ind w:left="708" w:right="51"/>
        <w:contextualSpacing/>
        <w:jc w:val="both"/>
        <w:rPr>
          <w:rFonts w:ascii="Work Sans" w:hAnsi="Work Sans" w:cs="Arial"/>
          <w:b/>
          <w:bCs/>
          <w:sz w:val="24"/>
          <w:szCs w:val="24"/>
        </w:rPr>
      </w:pPr>
      <w:r w:rsidRPr="397E51D1">
        <w:rPr>
          <w:rFonts w:ascii="Work Sans" w:hAnsi="Work Sans" w:cs="Arial"/>
          <w:b/>
          <w:bCs/>
          <w:sz w:val="24"/>
          <w:szCs w:val="24"/>
        </w:rPr>
        <w:t>Alcance:</w:t>
      </w:r>
      <w:r w:rsidRPr="397E51D1" w:rsidR="00AD5B00">
        <w:rPr>
          <w:rFonts w:ascii="Work Sans" w:hAnsi="Work Sans" w:cs="Arial"/>
          <w:sz w:val="24"/>
          <w:szCs w:val="24"/>
        </w:rPr>
        <w:t xml:space="preserve"> La obra comprende las intervenciones descritas a continuación:</w:t>
      </w:r>
    </w:p>
    <w:p w:rsidR="397E51D1" w:rsidP="397E51D1" w:rsidRDefault="397E51D1" w14:paraId="302A415C" w14:textId="0A1F5230">
      <w:pPr>
        <w:tabs>
          <w:tab w:val="left" w:pos="4650"/>
        </w:tabs>
        <w:spacing w:after="0"/>
        <w:ind w:left="708" w:right="51"/>
        <w:contextualSpacing/>
        <w:jc w:val="both"/>
        <w:rPr>
          <w:rFonts w:ascii="Work Sans" w:hAnsi="Work Sans" w:cs="Arial"/>
          <w:sz w:val="24"/>
          <w:szCs w:val="24"/>
        </w:rPr>
      </w:pPr>
    </w:p>
    <w:p w:rsidRPr="00DE3441" w:rsidR="00225A89" w:rsidP="007250AE" w:rsidRDefault="00225A89" w14:paraId="1690C298" w14:textId="7F3D5F7D">
      <w:pPr>
        <w:pStyle w:val="ListParagraph"/>
        <w:numPr>
          <w:ilvl w:val="0"/>
          <w:numId w:val="5"/>
        </w:numPr>
        <w:tabs>
          <w:tab w:val="left" w:pos="4650"/>
        </w:tabs>
        <w:spacing w:after="0"/>
        <w:ind w:right="51"/>
        <w:contextualSpacing/>
        <w:jc w:val="both"/>
        <w:rPr>
          <w:rFonts w:ascii="Work Sans" w:hAnsi="Work Sans" w:cs="Arial"/>
          <w:sz w:val="24"/>
          <w:szCs w:val="24"/>
        </w:rPr>
      </w:pPr>
      <w:r w:rsidRPr="00DE3441">
        <w:rPr>
          <w:rFonts w:ascii="Work Sans" w:hAnsi="Work Sans" w:cs="Arial"/>
          <w:sz w:val="24"/>
          <w:szCs w:val="24"/>
        </w:rPr>
        <w:t xml:space="preserve">Construcción del nuevo doble circuito </w:t>
      </w:r>
      <w:proofErr w:type="spellStart"/>
      <w:r w:rsidRPr="00DE3441">
        <w:rPr>
          <w:rFonts w:ascii="Work Sans" w:hAnsi="Work Sans" w:cs="Arial"/>
          <w:sz w:val="24"/>
          <w:szCs w:val="24"/>
        </w:rPr>
        <w:t>Aguaclara</w:t>
      </w:r>
      <w:proofErr w:type="spellEnd"/>
      <w:r w:rsidRPr="00DE3441">
        <w:rPr>
          <w:rFonts w:ascii="Work Sans" w:hAnsi="Work Sans" w:cs="Arial"/>
          <w:sz w:val="24"/>
          <w:szCs w:val="24"/>
        </w:rPr>
        <w:t xml:space="preserve"> – Puerto Gaitán a 230 kV, cada uno con una capacidad mínima de 1500 Amperios.</w:t>
      </w:r>
    </w:p>
    <w:p w:rsidRPr="00DE3441" w:rsidR="00225A89" w:rsidP="12AE42D8" w:rsidRDefault="00225A89" w14:paraId="63299451" w14:textId="4A82BD40">
      <w:pPr>
        <w:pStyle w:val="ListParagraph"/>
        <w:numPr>
          <w:ilvl w:val="0"/>
          <w:numId w:val="5"/>
        </w:numPr>
        <w:tabs>
          <w:tab w:val="left" w:pos="4650"/>
        </w:tabs>
        <w:spacing w:after="0"/>
        <w:ind w:right="51"/>
        <w:contextualSpacing w:val="1"/>
        <w:jc w:val="both"/>
        <w:rPr>
          <w:rFonts w:ascii="Work Sans" w:hAnsi="Work Sans" w:cs="Arial"/>
          <w:sz w:val="24"/>
          <w:szCs w:val="24"/>
        </w:rPr>
      </w:pPr>
      <w:r w:rsidRPr="12AE42D8" w:rsidR="00225A89">
        <w:rPr>
          <w:rFonts w:ascii="Work Sans" w:hAnsi="Work Sans" w:cs="Arial"/>
          <w:sz w:val="24"/>
          <w:szCs w:val="24"/>
        </w:rPr>
        <w:t xml:space="preserve">Construcción de la nueva subestación Puerto Gaitán 230 kV y la instalación de dos </w:t>
      </w:r>
      <w:r w:rsidRPr="12AE42D8" w:rsidR="12A7F4CA">
        <w:rPr>
          <w:rFonts w:ascii="Work Sans" w:hAnsi="Work Sans" w:cs="Arial"/>
          <w:sz w:val="24"/>
          <w:szCs w:val="24"/>
          <w:highlight w:val="yellow"/>
        </w:rPr>
        <w:t>bancos de auto</w:t>
      </w:r>
      <w:r w:rsidRPr="12AE42D8" w:rsidR="00225A89">
        <w:rPr>
          <w:rFonts w:ascii="Work Sans" w:hAnsi="Work Sans" w:cs="Arial"/>
          <w:sz w:val="24"/>
          <w:szCs w:val="24"/>
        </w:rPr>
        <w:t>transformadores</w:t>
      </w:r>
      <w:r w:rsidRPr="12AE42D8" w:rsidR="0204CD19">
        <w:rPr>
          <w:rFonts w:ascii="Work Sans" w:hAnsi="Work Sans" w:cs="Arial"/>
          <w:sz w:val="24"/>
          <w:szCs w:val="24"/>
        </w:rPr>
        <w:t xml:space="preserve"> </w:t>
      </w:r>
      <w:r w:rsidRPr="12AE42D8" w:rsidR="0204CD19">
        <w:rPr>
          <w:rFonts w:ascii="Work Sans" w:hAnsi="Work Sans" w:cs="Arial"/>
          <w:sz w:val="24"/>
          <w:szCs w:val="24"/>
          <w:highlight w:val="yellow"/>
        </w:rPr>
        <w:t>monofásicos</w:t>
      </w:r>
      <w:r w:rsidRPr="12AE42D8" w:rsidR="00225A89">
        <w:rPr>
          <w:rFonts w:ascii="Work Sans" w:hAnsi="Work Sans" w:cs="Arial"/>
          <w:sz w:val="24"/>
          <w:szCs w:val="24"/>
        </w:rPr>
        <w:t xml:space="preserve"> de 150 MVA 230/115 kV.</w:t>
      </w:r>
    </w:p>
    <w:p w:rsidRPr="00DE3441" w:rsidR="00225A89" w:rsidP="007250AE" w:rsidRDefault="00DE3441" w14:paraId="09489EAA" w14:textId="40DA7F6C">
      <w:pPr>
        <w:pStyle w:val="ListParagraph"/>
        <w:numPr>
          <w:ilvl w:val="0"/>
          <w:numId w:val="5"/>
        </w:numPr>
        <w:tabs>
          <w:tab w:val="left" w:pos="4650"/>
        </w:tabs>
        <w:spacing w:after="0"/>
        <w:ind w:right="51"/>
        <w:contextualSpacing/>
        <w:jc w:val="both"/>
        <w:rPr>
          <w:rFonts w:ascii="Work Sans" w:hAnsi="Work Sans" w:cs="Arial"/>
          <w:sz w:val="24"/>
          <w:szCs w:val="24"/>
        </w:rPr>
      </w:pPr>
      <w:r>
        <w:rPr>
          <w:rFonts w:ascii="Work Sans" w:hAnsi="Work Sans" w:cs="Arial"/>
          <w:sz w:val="24"/>
          <w:szCs w:val="24"/>
        </w:rPr>
        <w:t>C</w:t>
      </w:r>
      <w:r w:rsidRPr="00DE3441" w:rsidR="00225A89">
        <w:rPr>
          <w:rFonts w:ascii="Work Sans" w:hAnsi="Work Sans" w:cs="Arial"/>
          <w:sz w:val="24"/>
          <w:szCs w:val="24"/>
        </w:rPr>
        <w:t xml:space="preserve">onstrucción de nuevos circuitos Santa Helena – Puerto López 2 115 kV y Puerto López – Campobonito 2 a 115 kV, así como la instalación de una compensación capacitiva de 12,5 </w:t>
      </w:r>
      <w:proofErr w:type="spellStart"/>
      <w:r w:rsidRPr="00DE3441" w:rsidR="00225A89">
        <w:rPr>
          <w:rFonts w:ascii="Work Sans" w:hAnsi="Work Sans" w:cs="Arial"/>
          <w:sz w:val="24"/>
          <w:szCs w:val="24"/>
        </w:rPr>
        <w:t>MVAr</w:t>
      </w:r>
      <w:proofErr w:type="spellEnd"/>
      <w:r w:rsidRPr="00DE3441" w:rsidR="00225A89">
        <w:rPr>
          <w:rFonts w:ascii="Work Sans" w:hAnsi="Work Sans" w:cs="Arial"/>
          <w:sz w:val="24"/>
          <w:szCs w:val="24"/>
        </w:rPr>
        <w:t xml:space="preserve"> en la subestación </w:t>
      </w:r>
      <w:proofErr w:type="spellStart"/>
      <w:r w:rsidRPr="00DE3441" w:rsidR="00225A89">
        <w:rPr>
          <w:rFonts w:ascii="Work Sans" w:hAnsi="Work Sans" w:cs="Arial"/>
          <w:sz w:val="24"/>
          <w:szCs w:val="24"/>
        </w:rPr>
        <w:t>Campobonito</w:t>
      </w:r>
      <w:proofErr w:type="spellEnd"/>
      <w:r w:rsidRPr="00DE3441" w:rsidR="00225A89">
        <w:rPr>
          <w:rFonts w:ascii="Work Sans" w:hAnsi="Work Sans" w:cs="Arial"/>
          <w:sz w:val="24"/>
          <w:szCs w:val="24"/>
        </w:rPr>
        <w:t xml:space="preserve"> 115 kV, con FPO en diciembre 2028.</w:t>
      </w:r>
    </w:p>
    <w:p w:rsidRPr="00AD5B00" w:rsidR="00225A89" w:rsidP="397E51D1" w:rsidRDefault="00225A89" w14:paraId="5BCB44DF" w14:textId="0D6B86A1">
      <w:pPr>
        <w:pStyle w:val="ListParagraph"/>
        <w:numPr>
          <w:ilvl w:val="0"/>
          <w:numId w:val="5"/>
        </w:numPr>
        <w:tabs>
          <w:tab w:val="left" w:pos="4650"/>
        </w:tabs>
        <w:spacing w:after="0"/>
        <w:ind w:right="51"/>
        <w:contextualSpacing/>
        <w:jc w:val="both"/>
        <w:rPr>
          <w:rFonts w:ascii="Work Sans" w:hAnsi="Work Sans" w:cs="Arial"/>
          <w:sz w:val="24"/>
          <w:szCs w:val="24"/>
        </w:rPr>
      </w:pPr>
      <w:r w:rsidRPr="397E51D1">
        <w:rPr>
          <w:rFonts w:ascii="Work Sans" w:hAnsi="Work Sans" w:cs="Arial"/>
          <w:sz w:val="24"/>
          <w:szCs w:val="24"/>
        </w:rPr>
        <w:t xml:space="preserve">Construcción del nuevo circuito Puerto Gaitán – </w:t>
      </w:r>
      <w:proofErr w:type="spellStart"/>
      <w:r w:rsidRPr="397E51D1">
        <w:rPr>
          <w:rFonts w:ascii="Work Sans" w:hAnsi="Work Sans" w:cs="Arial"/>
          <w:sz w:val="24"/>
          <w:szCs w:val="24"/>
        </w:rPr>
        <w:t>Campobonito</w:t>
      </w:r>
      <w:proofErr w:type="spellEnd"/>
      <w:r w:rsidRPr="397E51D1">
        <w:rPr>
          <w:rFonts w:ascii="Work Sans" w:hAnsi="Work Sans" w:cs="Arial"/>
          <w:sz w:val="24"/>
          <w:szCs w:val="24"/>
        </w:rPr>
        <w:t xml:space="preserve"> a 115 kV, con FPO en diciembre 2029.</w:t>
      </w:r>
    </w:p>
    <w:p w:rsidR="397E51D1" w:rsidP="397E51D1" w:rsidRDefault="397E51D1" w14:paraId="20083C54" w14:textId="11D181FF">
      <w:pPr>
        <w:pStyle w:val="ListParagraph"/>
        <w:tabs>
          <w:tab w:val="left" w:pos="4650"/>
        </w:tabs>
        <w:spacing w:after="0"/>
        <w:ind w:left="1428" w:right="51"/>
        <w:contextualSpacing/>
        <w:jc w:val="both"/>
        <w:rPr>
          <w:rFonts w:ascii="Work Sans" w:hAnsi="Work Sans" w:cs="Arial"/>
          <w:sz w:val="24"/>
          <w:szCs w:val="24"/>
        </w:rPr>
      </w:pPr>
    </w:p>
    <w:p w:rsidRPr="00220EF9" w:rsidR="00C218E4" w:rsidP="007250AE" w:rsidRDefault="00C218E4" w14:paraId="6757AD66" w14:textId="5A19AEE2">
      <w:pPr>
        <w:tabs>
          <w:tab w:val="left" w:pos="4650"/>
        </w:tabs>
        <w:spacing w:after="0"/>
        <w:ind w:left="708" w:right="51"/>
        <w:contextualSpacing/>
        <w:jc w:val="both"/>
        <w:rPr>
          <w:rFonts w:ascii="Work Sans" w:hAnsi="Work Sans" w:eastAsia="Work Sans" w:cs="Work Sans"/>
          <w:b/>
          <w:bC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F64C0F" w:rsidR="00F64C0F">
        <w:rPr>
          <w:rFonts w:ascii="Work Sans" w:hAnsi="Work Sans" w:eastAsia="Work Sans" w:cs="Work Sans"/>
          <w:color w:val="000000" w:themeColor="text1"/>
          <w:sz w:val="24"/>
          <w:szCs w:val="24"/>
        </w:rPr>
        <w:t xml:space="preserve">La obra de expansión en la subárea eléctrica del Meta </w:t>
      </w:r>
      <w:r w:rsidR="003B2AB9">
        <w:rPr>
          <w:rFonts w:ascii="Work Sans" w:hAnsi="Work Sans" w:eastAsia="Work Sans" w:cs="Work Sans"/>
          <w:color w:val="000000" w:themeColor="text1"/>
          <w:sz w:val="24"/>
          <w:szCs w:val="24"/>
        </w:rPr>
        <w:t>mejora</w:t>
      </w:r>
      <w:r w:rsidRPr="00F64C0F" w:rsidR="00F64C0F">
        <w:rPr>
          <w:rFonts w:ascii="Work Sans" w:hAnsi="Work Sans" w:eastAsia="Work Sans" w:cs="Work Sans"/>
          <w:color w:val="000000" w:themeColor="text1"/>
          <w:sz w:val="24"/>
          <w:szCs w:val="24"/>
        </w:rPr>
        <w:t xml:space="preserve"> los perfiles de tensión y la confiabilidad del sistema, especialmente en las subestaciones Suria 115 kV, Puerto López 115 kV, </w:t>
      </w:r>
      <w:proofErr w:type="spellStart"/>
      <w:r w:rsidRPr="00F64C0F" w:rsidR="00F64C0F">
        <w:rPr>
          <w:rFonts w:ascii="Work Sans" w:hAnsi="Work Sans" w:eastAsia="Work Sans" w:cs="Work Sans"/>
          <w:color w:val="000000" w:themeColor="text1"/>
          <w:sz w:val="24"/>
          <w:szCs w:val="24"/>
        </w:rPr>
        <w:t>Campobonito</w:t>
      </w:r>
      <w:proofErr w:type="spellEnd"/>
      <w:r w:rsidRPr="00F64C0F" w:rsidR="00F64C0F">
        <w:rPr>
          <w:rFonts w:ascii="Work Sans" w:hAnsi="Work Sans" w:eastAsia="Work Sans" w:cs="Work Sans"/>
          <w:color w:val="000000" w:themeColor="text1"/>
          <w:sz w:val="24"/>
          <w:szCs w:val="24"/>
        </w:rPr>
        <w:t xml:space="preserve"> 115 kV y Puerto Gaitán 115 kV. Su implementación refuerza la atención de la demanda ante contingencias N-1, reduce la vulnerabilidad asociada a la configuración radial de la red y fortalece la capacidad de importación desde el STN, permitiendo una operación más segura, flexible y robusta</w:t>
      </w:r>
      <w:r w:rsidR="00F64C0F">
        <w:rPr>
          <w:rFonts w:ascii="Work Sans" w:hAnsi="Work Sans" w:eastAsia="Work Sans" w:cs="Work Sans"/>
          <w:color w:val="000000" w:themeColor="text1"/>
          <w:sz w:val="24"/>
          <w:szCs w:val="24"/>
        </w:rPr>
        <w:t>.</w:t>
      </w:r>
    </w:p>
    <w:p w:rsidR="00C218E4" w:rsidP="007250AE" w:rsidRDefault="00C218E4" w14:paraId="29A407E2"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C218E4" w:rsidP="007250AE" w:rsidRDefault="00C218E4" w14:paraId="14CF3D2D" w14:textId="7360E3CF">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DF4703">
        <w:rPr>
          <w:rFonts w:ascii="Work Sans" w:hAnsi="Work Sans" w:eastAsia="Work Sans" w:cs="Work Sans"/>
          <w:color w:val="000000" w:themeColor="text1"/>
          <w:sz w:val="24"/>
          <w:szCs w:val="24"/>
        </w:rPr>
        <w:t xml:space="preserve">es </w:t>
      </w:r>
      <w:r w:rsidRPr="00DF4703" w:rsidR="00FE5C9E">
        <w:rPr>
          <w:rFonts w:ascii="Work Sans" w:hAnsi="Work Sans" w:eastAsia="Work Sans" w:cs="Work Sans"/>
          <w:color w:val="000000" w:themeColor="text1"/>
          <w:sz w:val="24"/>
          <w:szCs w:val="24"/>
        </w:rPr>
        <w:t>3.05</w:t>
      </w:r>
      <w:r w:rsidRPr="00DF4703">
        <w:rPr>
          <w:rFonts w:ascii="Work Sans" w:hAnsi="Work Sans" w:eastAsia="Work Sans" w:cs="Work Sans"/>
          <w:color w:val="000000" w:themeColor="text1"/>
          <w:sz w:val="24"/>
          <w:szCs w:val="24"/>
        </w:rPr>
        <w:t>, superior a 1.</w:t>
      </w:r>
    </w:p>
    <w:p w:rsidR="00C218E4" w:rsidP="007250AE" w:rsidRDefault="00C218E4" w14:paraId="59281388" w14:textId="77777777">
      <w:pPr>
        <w:tabs>
          <w:tab w:val="left" w:pos="4650"/>
        </w:tabs>
        <w:spacing w:after="0"/>
        <w:ind w:right="51"/>
        <w:contextualSpacing/>
        <w:jc w:val="both"/>
        <w:rPr>
          <w:rFonts w:ascii="Work Sans" w:hAnsi="Work Sans" w:cs="Arial"/>
          <w:b/>
          <w:bCs/>
          <w:sz w:val="24"/>
          <w:szCs w:val="24"/>
        </w:rPr>
      </w:pPr>
    </w:p>
    <w:p w:rsidR="007536C8" w:rsidP="12AE42D8" w:rsidRDefault="00110A55" w14:paraId="2A8B794B" w14:textId="0A40518A">
      <w:pPr>
        <w:tabs>
          <w:tab w:val="left" w:pos="4650"/>
        </w:tabs>
        <w:spacing w:after="0"/>
        <w:ind w:right="51"/>
        <w:contextualSpacing w:val="1"/>
        <w:jc w:val="both"/>
        <w:rPr>
          <w:rFonts w:ascii="Work Sans" w:hAnsi="Work Sans" w:cs="Arial"/>
          <w:b w:val="1"/>
          <w:bCs w:val="1"/>
          <w:sz w:val="24"/>
          <w:szCs w:val="24"/>
          <w:u w:val="single"/>
        </w:rPr>
      </w:pPr>
      <w:r w:rsidRPr="12AE42D8" w:rsidR="00110A55">
        <w:rPr>
          <w:rFonts w:ascii="Work Sans" w:hAnsi="Work Sans" w:cs="Arial"/>
          <w:b w:val="1"/>
          <w:bCs w:val="1"/>
          <w:sz w:val="24"/>
          <w:szCs w:val="24"/>
          <w:u w:val="single"/>
        </w:rPr>
        <w:t>Subestación Sabana Occidente 230</w:t>
      </w:r>
      <w:r w:rsidRPr="12AE42D8" w:rsidR="2A8B733B">
        <w:rPr>
          <w:rFonts w:ascii="Work Sans" w:hAnsi="Work Sans" w:cs="Arial"/>
          <w:b w:val="1"/>
          <w:bCs w:val="1"/>
          <w:sz w:val="24"/>
          <w:szCs w:val="24"/>
          <w:u w:val="single"/>
        </w:rPr>
        <w:t xml:space="preserve"> kV</w:t>
      </w:r>
      <w:r w:rsidRPr="12AE42D8" w:rsidR="00110A55">
        <w:rPr>
          <w:rFonts w:ascii="Work Sans" w:hAnsi="Work Sans" w:cs="Arial"/>
          <w:b w:val="1"/>
          <w:bCs w:val="1"/>
          <w:sz w:val="24"/>
          <w:szCs w:val="24"/>
          <w:u w:val="single"/>
        </w:rPr>
        <w:t xml:space="preserve"> y líneas asociadas</w:t>
      </w:r>
    </w:p>
    <w:p w:rsidR="397E51D1" w:rsidP="397E51D1" w:rsidRDefault="397E51D1" w14:paraId="6FBD34AB" w14:textId="77AB2004">
      <w:pPr>
        <w:tabs>
          <w:tab w:val="left" w:pos="4650"/>
        </w:tabs>
        <w:spacing w:after="0"/>
        <w:ind w:right="51"/>
        <w:contextualSpacing/>
        <w:jc w:val="both"/>
        <w:rPr>
          <w:rFonts w:ascii="Work Sans" w:hAnsi="Work Sans" w:cs="Arial"/>
          <w:b/>
          <w:bCs/>
          <w:sz w:val="24"/>
          <w:szCs w:val="24"/>
          <w:u w:val="single"/>
        </w:rPr>
      </w:pPr>
    </w:p>
    <w:p w:rsidR="000D7C49" w:rsidP="007250AE" w:rsidRDefault="007536C8" w14:paraId="2DDFDAD1" w14:textId="77777777">
      <w:pPr>
        <w:tabs>
          <w:tab w:val="left" w:pos="4650"/>
        </w:tabs>
        <w:spacing w:after="0"/>
        <w:ind w:left="708" w:right="51"/>
        <w:contextualSpacing/>
        <w:jc w:val="both"/>
        <w:rPr>
          <w:rFonts w:ascii="Work Sans" w:hAnsi="Work Sans" w:cs="Arial"/>
          <w:sz w:val="24"/>
          <w:szCs w:val="24"/>
        </w:rPr>
      </w:pPr>
      <w:r w:rsidRPr="397E51D1">
        <w:rPr>
          <w:rFonts w:ascii="Work Sans" w:hAnsi="Work Sans" w:cs="Arial"/>
          <w:b/>
          <w:bCs/>
          <w:sz w:val="24"/>
          <w:szCs w:val="24"/>
        </w:rPr>
        <w:t>Alcance:</w:t>
      </w:r>
      <w:r w:rsidRPr="397E51D1" w:rsidR="00A579D6">
        <w:rPr>
          <w:rFonts w:ascii="Work Sans" w:hAnsi="Work Sans" w:cs="Arial"/>
          <w:b/>
          <w:bCs/>
          <w:sz w:val="24"/>
          <w:szCs w:val="24"/>
        </w:rPr>
        <w:t xml:space="preserve"> </w:t>
      </w:r>
      <w:r w:rsidRPr="397E51D1" w:rsidR="000D7C49">
        <w:rPr>
          <w:rFonts w:ascii="Work Sans" w:hAnsi="Work Sans" w:cs="Arial"/>
          <w:sz w:val="24"/>
          <w:szCs w:val="24"/>
        </w:rPr>
        <w:t>La obra comprende las intervenciones descritas a continuación:</w:t>
      </w:r>
    </w:p>
    <w:p w:rsidR="397E51D1" w:rsidP="397E51D1" w:rsidRDefault="397E51D1" w14:paraId="22AE8BD0" w14:textId="0FC3F423">
      <w:pPr>
        <w:tabs>
          <w:tab w:val="left" w:pos="4650"/>
        </w:tabs>
        <w:spacing w:after="0"/>
        <w:ind w:left="708" w:right="51"/>
        <w:contextualSpacing/>
        <w:jc w:val="both"/>
        <w:rPr>
          <w:rFonts w:ascii="Work Sans" w:hAnsi="Work Sans" w:cs="Arial"/>
          <w:sz w:val="24"/>
          <w:szCs w:val="24"/>
        </w:rPr>
      </w:pPr>
    </w:p>
    <w:p w:rsidRPr="000D7C49" w:rsidR="007536C8" w:rsidP="12AE42D8" w:rsidRDefault="00A579D6" w14:paraId="22A45A41" w14:textId="08C312DB">
      <w:pPr>
        <w:pStyle w:val="ListParagraph"/>
        <w:numPr>
          <w:ilvl w:val="0"/>
          <w:numId w:val="2"/>
        </w:numPr>
        <w:tabs>
          <w:tab w:val="left" w:pos="4650"/>
        </w:tabs>
        <w:spacing w:after="0"/>
        <w:ind w:right="51"/>
        <w:contextualSpacing w:val="1"/>
        <w:jc w:val="both"/>
        <w:rPr>
          <w:rFonts w:ascii="Work Sans" w:hAnsi="Work Sans" w:cs="Arial"/>
          <w:sz w:val="24"/>
          <w:szCs w:val="24"/>
        </w:rPr>
      </w:pPr>
      <w:r w:rsidRPr="12AE42D8" w:rsidR="00A579D6">
        <w:rPr>
          <w:rFonts w:ascii="Work Sans" w:hAnsi="Work Sans" w:cs="Arial"/>
          <w:sz w:val="24"/>
          <w:szCs w:val="24"/>
        </w:rPr>
        <w:t xml:space="preserve">Subestación Sabana Occidente 230/34,5 kV </w:t>
      </w:r>
      <w:r w:rsidRPr="12AE42D8" w:rsidR="76C8DB90">
        <w:rPr>
          <w:rFonts w:ascii="Work Sans" w:hAnsi="Work Sans" w:cs="Arial"/>
          <w:sz w:val="24"/>
          <w:szCs w:val="24"/>
          <w:highlight w:val="yellow"/>
        </w:rPr>
        <w:t xml:space="preserve">con </w:t>
      </w:r>
      <w:r w:rsidRPr="12AE42D8" w:rsidR="76C8DB90">
        <w:rPr>
          <w:rFonts w:ascii="Work Sans" w:hAnsi="Work Sans" w:cs="Arial"/>
          <w:sz w:val="24"/>
          <w:szCs w:val="24"/>
          <w:highlight w:val="yellow"/>
        </w:rPr>
        <w:t>tecnología</w:t>
      </w:r>
      <w:r w:rsidRPr="12AE42D8" w:rsidR="76C8DB90">
        <w:rPr>
          <w:rFonts w:ascii="Work Sans" w:hAnsi="Work Sans" w:cs="Arial"/>
          <w:sz w:val="24"/>
          <w:szCs w:val="24"/>
        </w:rPr>
        <w:t xml:space="preserve"> </w:t>
      </w:r>
      <w:r w:rsidRPr="12AE42D8" w:rsidR="00A579D6">
        <w:rPr>
          <w:rFonts w:ascii="Work Sans" w:hAnsi="Work Sans" w:cs="Arial"/>
          <w:sz w:val="24"/>
          <w:szCs w:val="24"/>
        </w:rPr>
        <w:t>tipo GIS, con conexión al STN mediante la reconfiguración de la línea La Mesa – Noroeste 230 kV, conformando los tramos La Mesa – Sabana Occidente 230 kV y Noroeste – Sabana Occidente 230 kV.</w:t>
      </w:r>
    </w:p>
    <w:p w:rsidR="5D0BD6BB" w:rsidP="12AE42D8" w:rsidRDefault="5D0BD6BB" w14:paraId="2512F884" w14:textId="6D44E8E6">
      <w:pPr>
        <w:pStyle w:val="ListParagraph"/>
        <w:numPr>
          <w:ilvl w:val="0"/>
          <w:numId w:val="2"/>
        </w:numPr>
        <w:suppressLineNumbers w:val="0"/>
        <w:tabs>
          <w:tab w:val="left" w:leader="none" w:pos="4650"/>
        </w:tabs>
        <w:bidi w:val="0"/>
        <w:spacing w:before="0" w:beforeAutospacing="off" w:after="0" w:afterAutospacing="off" w:line="276" w:lineRule="auto"/>
        <w:ind w:left="1428" w:right="51" w:hanging="360"/>
        <w:jc w:val="both"/>
        <w:rPr>
          <w:rFonts w:ascii="Work Sans" w:hAnsi="Work Sans" w:cs="Arial"/>
          <w:noProof w:val="0"/>
          <w:sz w:val="24"/>
          <w:szCs w:val="24"/>
          <w:highlight w:val="yellow"/>
          <w:lang w:val="es-CO"/>
        </w:rPr>
      </w:pPr>
      <w:r w:rsidRPr="12AE42D8" w:rsidR="5D0BD6BB">
        <w:rPr>
          <w:rFonts w:ascii="Work Sans" w:hAnsi="Work Sans" w:cs="Arial"/>
          <w:sz w:val="24"/>
          <w:szCs w:val="24"/>
          <w:highlight w:val="yellow"/>
        </w:rPr>
        <w:t xml:space="preserve">Instalación de dos </w:t>
      </w:r>
      <w:r w:rsidRPr="12AE42D8" w:rsidR="5D0BD6BB">
        <w:rPr>
          <w:rFonts w:ascii="Work Sans" w:hAnsi="Work Sans" w:cs="Arial"/>
          <w:noProof w:val="0"/>
          <w:sz w:val="24"/>
          <w:szCs w:val="24"/>
          <w:highlight w:val="yellow"/>
          <w:lang w:val="es-CO"/>
        </w:rPr>
        <w:t xml:space="preserve">transformadores trifásicos </w:t>
      </w:r>
      <w:r w:rsidRPr="12AE42D8" w:rsidR="5D0BD6BB">
        <w:rPr>
          <w:rFonts w:ascii="Work Sans" w:hAnsi="Work Sans" w:cs="Arial"/>
          <w:noProof w:val="0"/>
          <w:sz w:val="24"/>
          <w:szCs w:val="24"/>
          <w:highlight w:val="yellow"/>
          <w:lang w:val="es-CO"/>
        </w:rPr>
        <w:t>230/34.5 kV de 63 MVA cada uno.</w:t>
      </w:r>
    </w:p>
    <w:p w:rsidR="00A579D6" w:rsidP="007250AE" w:rsidRDefault="00A579D6" w14:paraId="7A01FD3E" w14:textId="77777777">
      <w:pPr>
        <w:tabs>
          <w:tab w:val="left" w:pos="4650"/>
        </w:tabs>
        <w:spacing w:after="0"/>
        <w:ind w:left="708" w:right="51"/>
        <w:contextualSpacing/>
        <w:jc w:val="both"/>
        <w:rPr>
          <w:rFonts w:ascii="Work Sans" w:hAnsi="Work Sans" w:cs="Arial"/>
          <w:sz w:val="24"/>
          <w:szCs w:val="24"/>
        </w:rPr>
      </w:pPr>
    </w:p>
    <w:p w:rsidRPr="00220EF9" w:rsidR="007536C8" w:rsidP="007250AE" w:rsidRDefault="007536C8" w14:paraId="1627379F" w14:textId="6DCC1933">
      <w:pPr>
        <w:tabs>
          <w:tab w:val="left" w:pos="4650"/>
        </w:tabs>
        <w:spacing w:after="0"/>
        <w:ind w:left="708" w:right="51"/>
        <w:contextualSpacing/>
        <w:jc w:val="both"/>
        <w:rPr>
          <w:rFonts w:ascii="Work Sans" w:hAnsi="Work Sans" w:eastAsia="Work Sans" w:cs="Work Sans"/>
          <w:b/>
          <w:bC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D0232E" w:rsidR="00D0232E">
        <w:rPr>
          <w:rFonts w:ascii="Work Sans" w:hAnsi="Work Sans" w:eastAsia="Work Sans" w:cs="Work Sans"/>
          <w:color w:val="000000" w:themeColor="text1"/>
          <w:sz w:val="24"/>
          <w:szCs w:val="24"/>
        </w:rPr>
        <w:t xml:space="preserve">La subestación Sabana Occidente 230/34,5 kV permite atender el crecimiento de la demanda en la Sabana Occidental </w:t>
      </w:r>
      <w:r w:rsidR="002B7E40">
        <w:rPr>
          <w:rFonts w:ascii="Work Sans" w:hAnsi="Work Sans" w:eastAsia="Work Sans" w:cs="Work Sans"/>
          <w:color w:val="000000" w:themeColor="text1"/>
          <w:sz w:val="24"/>
          <w:szCs w:val="24"/>
        </w:rPr>
        <w:t>y</w:t>
      </w:r>
      <w:r w:rsidRPr="00D0232E" w:rsidR="00D0232E">
        <w:rPr>
          <w:rFonts w:ascii="Work Sans" w:hAnsi="Work Sans" w:eastAsia="Work Sans" w:cs="Work Sans"/>
          <w:color w:val="000000" w:themeColor="text1"/>
          <w:sz w:val="24"/>
          <w:szCs w:val="24"/>
        </w:rPr>
        <w:t xml:space="preserve"> aliviar las restricciones de capacidad en las subestaciones Mosquera 115 kV y Balsillas 230/115 kV, mejorar la distribución de flujos de potencia y reducir las </w:t>
      </w:r>
      <w:proofErr w:type="spellStart"/>
      <w:r w:rsidRPr="00D0232E" w:rsidR="00D0232E">
        <w:rPr>
          <w:rFonts w:ascii="Work Sans" w:hAnsi="Work Sans" w:eastAsia="Work Sans" w:cs="Work Sans"/>
          <w:color w:val="000000" w:themeColor="text1"/>
          <w:sz w:val="24"/>
          <w:szCs w:val="24"/>
        </w:rPr>
        <w:t>cargabilidades</w:t>
      </w:r>
      <w:proofErr w:type="spellEnd"/>
      <w:r w:rsidRPr="00D0232E" w:rsidR="00D0232E">
        <w:rPr>
          <w:rFonts w:ascii="Work Sans" w:hAnsi="Work Sans" w:eastAsia="Work Sans" w:cs="Work Sans"/>
          <w:color w:val="000000" w:themeColor="text1"/>
          <w:sz w:val="24"/>
          <w:szCs w:val="24"/>
        </w:rPr>
        <w:t xml:space="preserve"> de los corredores existentes. Su operación incrementa la robustez del sistema ante contingencias, disminuye el riesgo de bajas tensiones y fortalece la capacidad de suministro, especialmente en escenarios de alta demanda o retraso en la ejecución de obras complementarias</w:t>
      </w:r>
      <w:r w:rsidR="00D0232E">
        <w:rPr>
          <w:rFonts w:ascii="Work Sans" w:hAnsi="Work Sans" w:eastAsia="Work Sans" w:cs="Work Sans"/>
          <w:color w:val="000000" w:themeColor="text1"/>
          <w:sz w:val="24"/>
          <w:szCs w:val="24"/>
        </w:rPr>
        <w:t>.</w:t>
      </w:r>
    </w:p>
    <w:p w:rsidR="007536C8" w:rsidP="007250AE" w:rsidRDefault="007536C8" w14:paraId="798D9797"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7536C8" w:rsidP="007250AE" w:rsidRDefault="007536C8" w14:paraId="47FD6AF9" w14:textId="5155AD0E">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0570E9">
        <w:rPr>
          <w:rFonts w:ascii="Work Sans" w:hAnsi="Work Sans" w:eastAsia="Work Sans" w:cs="Work Sans"/>
          <w:color w:val="000000" w:themeColor="text1"/>
          <w:sz w:val="24"/>
          <w:szCs w:val="24"/>
        </w:rPr>
        <w:t xml:space="preserve">es </w:t>
      </w:r>
      <w:r w:rsidRPr="000570E9" w:rsidR="00AE1091">
        <w:rPr>
          <w:rFonts w:ascii="Work Sans" w:hAnsi="Work Sans" w:eastAsia="Work Sans" w:cs="Work Sans"/>
          <w:color w:val="000000" w:themeColor="text1"/>
          <w:sz w:val="24"/>
          <w:szCs w:val="24"/>
        </w:rPr>
        <w:t>27.44</w:t>
      </w:r>
      <w:r w:rsidRPr="000570E9">
        <w:rPr>
          <w:rFonts w:ascii="Work Sans" w:hAnsi="Work Sans" w:eastAsia="Work Sans" w:cs="Work Sans"/>
          <w:color w:val="000000" w:themeColor="text1"/>
          <w:sz w:val="24"/>
          <w:szCs w:val="24"/>
        </w:rPr>
        <w:t>, superior a 1.</w:t>
      </w:r>
    </w:p>
    <w:p w:rsidR="00E53286" w:rsidP="007250AE" w:rsidRDefault="00E53286" w14:paraId="06FB4EE3" w14:textId="77777777">
      <w:pPr>
        <w:tabs>
          <w:tab w:val="left" w:pos="4650"/>
        </w:tabs>
        <w:spacing w:after="0"/>
        <w:ind w:right="51"/>
        <w:contextualSpacing/>
        <w:jc w:val="both"/>
        <w:rPr>
          <w:rFonts w:ascii="Work Sans" w:hAnsi="Work Sans" w:cs="Arial"/>
          <w:b/>
          <w:bCs/>
          <w:sz w:val="24"/>
          <w:szCs w:val="24"/>
        </w:rPr>
      </w:pPr>
    </w:p>
    <w:p w:rsidR="00063FF2" w:rsidP="12AE42D8" w:rsidRDefault="00443C8A" w14:paraId="55AE53D8" w14:textId="58F44EBB">
      <w:pPr>
        <w:tabs>
          <w:tab w:val="left" w:pos="4650"/>
        </w:tabs>
        <w:spacing w:after="0"/>
        <w:ind w:right="51"/>
        <w:contextualSpacing w:val="1"/>
        <w:jc w:val="both"/>
        <w:rPr>
          <w:rFonts w:ascii="Work Sans" w:hAnsi="Work Sans" w:cs="Arial"/>
          <w:b w:val="1"/>
          <w:bCs w:val="1"/>
          <w:sz w:val="24"/>
          <w:szCs w:val="24"/>
          <w:u w:val="single"/>
        </w:rPr>
      </w:pPr>
      <w:r w:rsidRPr="12AE42D8" w:rsidR="00443C8A">
        <w:rPr>
          <w:rFonts w:ascii="Work Sans" w:hAnsi="Work Sans" w:cs="Arial"/>
          <w:b w:val="1"/>
          <w:bCs w:val="1"/>
          <w:sz w:val="24"/>
          <w:szCs w:val="24"/>
          <w:u w:val="single"/>
        </w:rPr>
        <w:t>Subestación Zaque 230/115 kV y obras asociadas</w:t>
      </w:r>
    </w:p>
    <w:p w:rsidR="397E51D1" w:rsidP="397E51D1" w:rsidRDefault="397E51D1" w14:paraId="5DF9C83D" w14:textId="1F10A4ED">
      <w:pPr>
        <w:tabs>
          <w:tab w:val="left" w:pos="4650"/>
        </w:tabs>
        <w:spacing w:after="0"/>
        <w:ind w:right="51"/>
        <w:contextualSpacing/>
        <w:jc w:val="both"/>
        <w:rPr>
          <w:rFonts w:ascii="Work Sans" w:hAnsi="Work Sans" w:cs="Arial"/>
          <w:b/>
          <w:bCs/>
          <w:sz w:val="24"/>
          <w:szCs w:val="24"/>
          <w:u w:val="single"/>
        </w:rPr>
      </w:pPr>
    </w:p>
    <w:p w:rsidR="00841F27" w:rsidP="007250AE" w:rsidRDefault="00063FF2" w14:paraId="17738CED" w14:textId="65CE96B7">
      <w:pPr>
        <w:tabs>
          <w:tab w:val="left" w:pos="4650"/>
        </w:tabs>
        <w:spacing w:after="0"/>
        <w:ind w:left="708" w:right="51"/>
        <w:contextualSpacing/>
        <w:jc w:val="both"/>
        <w:rPr>
          <w:rFonts w:ascii="Work Sans" w:hAnsi="Work Sans" w:cs="Arial"/>
          <w:b/>
          <w:bCs/>
          <w:sz w:val="24"/>
          <w:szCs w:val="24"/>
        </w:rPr>
      </w:pPr>
      <w:r w:rsidRPr="397E51D1">
        <w:rPr>
          <w:rFonts w:ascii="Work Sans" w:hAnsi="Work Sans" w:cs="Arial"/>
          <w:b/>
          <w:bCs/>
          <w:sz w:val="24"/>
          <w:szCs w:val="24"/>
        </w:rPr>
        <w:t>Alcance:</w:t>
      </w:r>
      <w:r w:rsidRPr="397E51D1" w:rsidR="000D7C49">
        <w:rPr>
          <w:rFonts w:ascii="Work Sans" w:hAnsi="Work Sans" w:cs="Arial"/>
          <w:sz w:val="24"/>
          <w:szCs w:val="24"/>
        </w:rPr>
        <w:t xml:space="preserve"> La obra comprende las intervenciones descritas a continuación:</w:t>
      </w:r>
    </w:p>
    <w:p w:rsidR="397E51D1" w:rsidP="12AE42D8" w:rsidRDefault="397E51D1" w14:paraId="770328E5" w14:textId="192790A5">
      <w:pPr>
        <w:pStyle w:val="Normal"/>
        <w:suppressLineNumbers w:val="0"/>
        <w:tabs>
          <w:tab w:val="left" w:leader="none" w:pos="4650"/>
        </w:tabs>
        <w:bidi w:val="0"/>
        <w:spacing w:before="0" w:beforeAutospacing="off" w:after="0" w:afterAutospacing="off" w:line="276" w:lineRule="auto"/>
        <w:ind w:left="708" w:right="51"/>
        <w:jc w:val="both"/>
        <w:rPr>
          <w:rFonts w:ascii="Work Sans" w:hAnsi="Work Sans" w:eastAsia="Work Sans" w:cs="Work Sans"/>
          <w:color w:val="000000" w:themeColor="text1" w:themeTint="FF" w:themeShade="FF"/>
          <w:sz w:val="24"/>
          <w:szCs w:val="24"/>
        </w:rPr>
      </w:pPr>
    </w:p>
    <w:p w:rsidR="0476BDFE" w:rsidP="12AE42D8" w:rsidRDefault="0476BDFE" w14:paraId="3FC07F72" w14:textId="370673AF">
      <w:pPr>
        <w:pStyle w:val="ListParagraph"/>
        <w:numPr>
          <w:ilvl w:val="0"/>
          <w:numId w:val="10"/>
        </w:numPr>
        <w:tabs>
          <w:tab w:val="left" w:leader="none" w:pos="4650"/>
        </w:tabs>
        <w:spacing w:after="0"/>
        <w:ind w:right="51"/>
        <w:contextualSpacing w:val="1"/>
        <w:jc w:val="both"/>
        <w:rPr>
          <w:rFonts w:ascii="Work Sans" w:hAnsi="Work Sans" w:eastAsia="Work Sans" w:cs="Work Sans"/>
          <w:color w:val="000000" w:themeColor="text1" w:themeTint="FF" w:themeShade="FF"/>
          <w:sz w:val="24"/>
          <w:szCs w:val="24"/>
          <w:highlight w:val="yellow"/>
        </w:rPr>
      </w:pPr>
      <w:r w:rsidRPr="12AE42D8" w:rsidR="0476BDFE">
        <w:rPr>
          <w:rFonts w:ascii="Work Sans" w:hAnsi="Work Sans" w:eastAsia="Work Sans" w:cs="Work Sans"/>
          <w:color w:val="000000" w:themeColor="text1" w:themeTint="FF" w:themeShade="FF"/>
          <w:sz w:val="24"/>
          <w:szCs w:val="24"/>
          <w:highlight w:val="yellow"/>
        </w:rPr>
        <w:t>Construcción de la subestación El Zaque 230 kV, con dos transformadores trifásicos 30/115 kV, de 90 MVA cada uno.</w:t>
      </w:r>
    </w:p>
    <w:p w:rsidR="0476BDFE" w:rsidP="12AE42D8" w:rsidRDefault="0476BDFE" w14:paraId="79E5A60E" w14:textId="6B54256F">
      <w:pPr>
        <w:pStyle w:val="ListParagraph"/>
        <w:numPr>
          <w:ilvl w:val="0"/>
          <w:numId w:val="10"/>
        </w:numPr>
        <w:suppressLineNumbers w:val="0"/>
        <w:bidi w:val="0"/>
        <w:spacing w:before="0" w:beforeAutospacing="off" w:after="0" w:afterAutospacing="off" w:line="276" w:lineRule="auto"/>
        <w:ind w:right="51"/>
        <w:jc w:val="both"/>
        <w:rPr>
          <w:rFonts w:ascii="Work Sans" w:hAnsi="Work Sans" w:eastAsia="Work Sans" w:cs="Work Sans"/>
          <w:color w:val="000000" w:themeColor="text1" w:themeTint="FF" w:themeShade="FF"/>
          <w:sz w:val="24"/>
          <w:szCs w:val="24"/>
          <w:highlight w:val="yellow"/>
        </w:rPr>
      </w:pPr>
      <w:r w:rsidRPr="12AE42D8" w:rsidR="0476BDFE">
        <w:rPr>
          <w:rFonts w:ascii="Work Sans" w:hAnsi="Work Sans" w:eastAsia="Work Sans" w:cs="Work Sans"/>
          <w:color w:val="000000" w:themeColor="text1" w:themeTint="FF" w:themeShade="FF"/>
          <w:sz w:val="24"/>
          <w:szCs w:val="24"/>
          <w:highlight w:val="yellow"/>
        </w:rPr>
        <w:t>Reconfiguración de los circuitos San Bernardino - Jamondino 1 y 2 230 kV en El Zaque – San Bernardino 1 y 2 230 kV y El Zaque – Jamondino 1 y 2 230 kV, cada uno con una capacidad mínima de 800 A por circuito.</w:t>
      </w:r>
    </w:p>
    <w:p w:rsidR="0476BDFE" w:rsidP="12AE42D8" w:rsidRDefault="0476BDFE" w14:paraId="324440BA" w14:textId="54D8552D">
      <w:pPr>
        <w:pStyle w:val="ListParagraph"/>
        <w:numPr>
          <w:ilvl w:val="0"/>
          <w:numId w:val="10"/>
        </w:numPr>
        <w:suppressLineNumbers w:val="0"/>
        <w:bidi w:val="0"/>
        <w:spacing w:before="0" w:beforeAutospacing="off" w:after="0" w:afterAutospacing="off" w:line="276" w:lineRule="auto"/>
        <w:ind w:right="51"/>
        <w:jc w:val="both"/>
        <w:rPr>
          <w:rFonts w:ascii="Work Sans" w:hAnsi="Work Sans" w:eastAsia="Work Sans" w:cs="Work Sans"/>
          <w:color w:val="000000" w:themeColor="text1" w:themeTint="FF" w:themeShade="FF"/>
          <w:sz w:val="24"/>
          <w:szCs w:val="24"/>
          <w:highlight w:val="yellow"/>
        </w:rPr>
      </w:pPr>
      <w:r w:rsidRPr="12AE42D8" w:rsidR="0476BDFE">
        <w:rPr>
          <w:rFonts w:ascii="Work Sans" w:hAnsi="Work Sans" w:eastAsia="Work Sans" w:cs="Work Sans"/>
          <w:color w:val="000000" w:themeColor="text1" w:themeTint="FF" w:themeShade="FF"/>
          <w:sz w:val="24"/>
          <w:szCs w:val="24"/>
          <w:highlight w:val="yellow"/>
        </w:rPr>
        <w:t>Segundo transformador trifásico de 90 MVA en la subestación Páez 230/115 kV</w:t>
      </w:r>
    </w:p>
    <w:p w:rsidR="0476BDFE" w:rsidP="12AE42D8" w:rsidRDefault="0476BDFE" w14:paraId="1DE7AC45" w14:textId="2A5C547E">
      <w:pPr>
        <w:pStyle w:val="ListParagraph"/>
        <w:numPr>
          <w:ilvl w:val="0"/>
          <w:numId w:val="10"/>
        </w:numPr>
        <w:suppressLineNumbers w:val="0"/>
        <w:bidi w:val="0"/>
        <w:spacing w:before="0" w:beforeAutospacing="off" w:after="0" w:afterAutospacing="off" w:line="276" w:lineRule="auto"/>
        <w:ind w:right="51"/>
        <w:jc w:val="both"/>
        <w:rPr>
          <w:rFonts w:ascii="Work Sans" w:hAnsi="Work Sans" w:eastAsia="Work Sans" w:cs="Work Sans"/>
          <w:color w:val="000000" w:themeColor="text1" w:themeTint="FF" w:themeShade="FF"/>
          <w:sz w:val="24"/>
          <w:szCs w:val="24"/>
          <w:highlight w:val="yellow"/>
        </w:rPr>
      </w:pPr>
      <w:r w:rsidRPr="12AE42D8" w:rsidR="0476BDFE">
        <w:rPr>
          <w:rFonts w:ascii="Work Sans" w:hAnsi="Work Sans" w:eastAsia="Work Sans" w:cs="Work Sans"/>
          <w:color w:val="000000" w:themeColor="text1" w:themeTint="FF" w:themeShade="FF"/>
          <w:sz w:val="24"/>
          <w:szCs w:val="24"/>
          <w:highlight w:val="yellow"/>
        </w:rPr>
        <w:t>Construcción de la tercera línea de transmisión Popayán – San Bernardino 115 kV.</w:t>
      </w:r>
    </w:p>
    <w:p w:rsidR="60619C81" w:rsidP="60619C81" w:rsidRDefault="60619C81" w14:paraId="505CE3F3" w14:textId="42C10443">
      <w:pPr>
        <w:pStyle w:val="ListParagraph"/>
        <w:tabs>
          <w:tab w:val="left" w:pos="4650"/>
        </w:tabs>
        <w:spacing w:after="0"/>
        <w:ind w:left="1428" w:right="51"/>
        <w:contextualSpacing/>
        <w:jc w:val="both"/>
        <w:rPr>
          <w:rFonts w:ascii="Work Sans" w:hAnsi="Work Sans" w:eastAsia="Batang" w:cs="Arial"/>
          <w:b/>
          <w:bCs/>
          <w:sz w:val="24"/>
          <w:szCs w:val="24"/>
        </w:rPr>
      </w:pPr>
    </w:p>
    <w:p w:rsidRPr="00220EF9" w:rsidR="00063FF2" w:rsidP="007250AE" w:rsidRDefault="00063FF2" w14:paraId="497139C9" w14:textId="31FB7109">
      <w:pPr>
        <w:tabs>
          <w:tab w:val="left" w:pos="4650"/>
        </w:tabs>
        <w:spacing w:after="0"/>
        <w:ind w:left="708" w:right="51"/>
        <w:contextualSpacing/>
        <w:jc w:val="both"/>
        <w:rPr>
          <w:rFonts w:ascii="Work Sans" w:hAnsi="Work Sans" w:eastAsia="Work Sans" w:cs="Work Sans"/>
          <w:b/>
          <w:bCs/>
          <w:color w:val="000000" w:themeColor="text1"/>
          <w:sz w:val="24"/>
          <w:szCs w:val="24"/>
        </w:rPr>
      </w:pPr>
      <w:r w:rsidRPr="00220EF9">
        <w:rPr>
          <w:rFonts w:ascii="Work Sans" w:hAnsi="Work Sans" w:eastAsia="Work Sans" w:cs="Work Sans"/>
          <w:b/>
          <w:bCs/>
          <w:color w:val="000000" w:themeColor="text1"/>
          <w:sz w:val="24"/>
          <w:szCs w:val="24"/>
        </w:rPr>
        <w:t>Impacto de la obra:</w:t>
      </w:r>
      <w:r>
        <w:rPr>
          <w:rFonts w:ascii="Work Sans" w:hAnsi="Work Sans" w:eastAsia="Work Sans" w:cs="Work Sans"/>
          <w:b/>
          <w:bCs/>
          <w:color w:val="000000" w:themeColor="text1"/>
          <w:sz w:val="24"/>
          <w:szCs w:val="24"/>
        </w:rPr>
        <w:t xml:space="preserve"> </w:t>
      </w:r>
      <w:r w:rsidRPr="001F00C6" w:rsidR="001F00C6">
        <w:rPr>
          <w:rFonts w:ascii="Work Sans" w:hAnsi="Work Sans" w:eastAsia="Work Sans" w:cs="Work Sans"/>
          <w:color w:val="000000" w:themeColor="text1"/>
          <w:sz w:val="24"/>
          <w:szCs w:val="24"/>
        </w:rPr>
        <w:t>La obra permite redistribuir los flujos de potencia entre el STN y el STR, aliviando sobrecargas y mitigando las bajas tensiones en la red de 115 kV de la subárea Cauca–Nariño, al tiempo que amplía la capacidad de transformación en nodos críticos del sistema. Esto reduce la vulnerabilidad ante contingencias sencillas, disminuye la dependencia de medidas operativas extraordinarias y fortalece la robustez y eficiencia del sistema, asegurando la atención del crecimiento de la demanda y aumentando la resiliencia del suministro eléctrico en la zona suroccidental del país.</w:t>
      </w:r>
    </w:p>
    <w:p w:rsidR="00063FF2" w:rsidP="007250AE" w:rsidRDefault="00063FF2" w14:paraId="17C2B5E2"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063FF2" w:rsidP="007250AE" w:rsidRDefault="00063FF2" w14:paraId="23C84BC3" w14:textId="41A5F86F">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calculada </w:t>
      </w:r>
      <w:r w:rsidRPr="00A92BCF">
        <w:rPr>
          <w:rFonts w:ascii="Work Sans" w:hAnsi="Work Sans" w:eastAsia="Work Sans" w:cs="Work Sans"/>
          <w:color w:val="000000" w:themeColor="text1"/>
          <w:sz w:val="24"/>
          <w:szCs w:val="24"/>
        </w:rPr>
        <w:t xml:space="preserve">es </w:t>
      </w:r>
      <w:r w:rsidRPr="00A92BCF" w:rsidR="00841F27">
        <w:rPr>
          <w:rFonts w:ascii="Work Sans" w:hAnsi="Work Sans" w:eastAsia="Work Sans" w:cs="Work Sans"/>
          <w:color w:val="000000" w:themeColor="text1"/>
          <w:sz w:val="24"/>
          <w:szCs w:val="24"/>
        </w:rPr>
        <w:t>1.79</w:t>
      </w:r>
      <w:r w:rsidRPr="00A92BCF">
        <w:rPr>
          <w:rFonts w:ascii="Work Sans" w:hAnsi="Work Sans" w:eastAsia="Work Sans" w:cs="Work Sans"/>
          <w:color w:val="000000" w:themeColor="text1"/>
          <w:sz w:val="24"/>
          <w:szCs w:val="24"/>
        </w:rPr>
        <w:t>, superior a 1.</w:t>
      </w:r>
    </w:p>
    <w:p w:rsidR="00063FF2" w:rsidP="007250AE" w:rsidRDefault="00063FF2" w14:paraId="0B71AC1D" w14:textId="77777777">
      <w:pPr>
        <w:tabs>
          <w:tab w:val="left" w:pos="4650"/>
        </w:tabs>
        <w:spacing w:after="0"/>
        <w:ind w:right="51"/>
        <w:contextualSpacing/>
        <w:jc w:val="both"/>
        <w:rPr>
          <w:rFonts w:ascii="Work Sans" w:hAnsi="Work Sans" w:cs="Arial"/>
          <w:b/>
          <w:bCs/>
          <w:sz w:val="24"/>
          <w:szCs w:val="24"/>
        </w:rPr>
      </w:pPr>
    </w:p>
    <w:p w:rsidR="00F25BE0" w:rsidP="12AE42D8" w:rsidRDefault="00443C8A" w14:paraId="25E23E4C" w14:textId="1694E86B">
      <w:pPr>
        <w:tabs>
          <w:tab w:val="left" w:pos="4650"/>
        </w:tabs>
        <w:spacing w:after="0"/>
        <w:ind w:right="51"/>
        <w:contextualSpacing w:val="1"/>
        <w:jc w:val="both"/>
        <w:rPr>
          <w:rFonts w:ascii="Work Sans" w:hAnsi="Work Sans" w:cs="Arial"/>
          <w:b w:val="1"/>
          <w:bCs w:val="1"/>
          <w:sz w:val="24"/>
          <w:szCs w:val="24"/>
          <w:u w:val="single"/>
        </w:rPr>
      </w:pPr>
      <w:r w:rsidRPr="12AE42D8" w:rsidR="00443C8A">
        <w:rPr>
          <w:rFonts w:ascii="Work Sans" w:hAnsi="Work Sans" w:cs="Arial"/>
          <w:b w:val="1"/>
          <w:bCs w:val="1"/>
          <w:sz w:val="24"/>
          <w:szCs w:val="24"/>
          <w:u w:val="single"/>
        </w:rPr>
        <w:t xml:space="preserve">Segundos </w:t>
      </w:r>
      <w:r w:rsidRPr="12AE42D8" w:rsidR="29DC231F">
        <w:rPr>
          <w:rFonts w:ascii="Work Sans" w:hAnsi="Work Sans" w:cs="Arial"/>
          <w:b w:val="1"/>
          <w:bCs w:val="1"/>
          <w:sz w:val="24"/>
          <w:szCs w:val="24"/>
          <w:highlight w:val="yellow"/>
          <w:u w:val="single"/>
        </w:rPr>
        <w:t>bancos de auto</w:t>
      </w:r>
      <w:r w:rsidRPr="12AE42D8" w:rsidR="00443C8A">
        <w:rPr>
          <w:rFonts w:ascii="Work Sans" w:hAnsi="Work Sans" w:cs="Arial"/>
          <w:b w:val="1"/>
          <w:bCs w:val="1"/>
          <w:sz w:val="24"/>
          <w:szCs w:val="24"/>
          <w:u w:val="single"/>
        </w:rPr>
        <w:t xml:space="preserve">transformadores </w:t>
      </w:r>
      <w:r w:rsidRPr="12AE42D8" w:rsidR="6E9D138B">
        <w:rPr>
          <w:rFonts w:ascii="Work Sans" w:hAnsi="Work Sans" w:cs="Arial"/>
          <w:b w:val="1"/>
          <w:bCs w:val="1"/>
          <w:sz w:val="24"/>
          <w:szCs w:val="24"/>
          <w:highlight w:val="yellow"/>
          <w:u w:val="single"/>
        </w:rPr>
        <w:t>monofásicos</w:t>
      </w:r>
      <w:r w:rsidRPr="12AE42D8" w:rsidR="6E9D138B">
        <w:rPr>
          <w:rFonts w:ascii="Work Sans" w:hAnsi="Work Sans" w:cs="Arial"/>
          <w:b w:val="1"/>
          <w:bCs w:val="1"/>
          <w:sz w:val="24"/>
          <w:szCs w:val="24"/>
          <w:u w:val="single"/>
        </w:rPr>
        <w:t xml:space="preserve"> </w:t>
      </w:r>
      <w:r w:rsidRPr="12AE42D8" w:rsidR="00443C8A">
        <w:rPr>
          <w:rFonts w:ascii="Work Sans" w:hAnsi="Work Sans" w:cs="Arial"/>
          <w:b w:val="1"/>
          <w:bCs w:val="1"/>
          <w:sz w:val="24"/>
          <w:szCs w:val="24"/>
          <w:u w:val="single"/>
        </w:rPr>
        <w:t xml:space="preserve">en </w:t>
      </w:r>
      <w:r w:rsidRPr="12AE42D8" w:rsidR="00443C8A">
        <w:rPr>
          <w:rFonts w:ascii="Work Sans" w:hAnsi="Work Sans" w:cs="Arial"/>
          <w:b w:val="1"/>
          <w:bCs w:val="1"/>
          <w:sz w:val="24"/>
          <w:szCs w:val="24"/>
          <w:u w:val="single"/>
        </w:rPr>
        <w:t>la subestaciones</w:t>
      </w:r>
      <w:r w:rsidRPr="12AE42D8" w:rsidR="00443C8A">
        <w:rPr>
          <w:rFonts w:ascii="Work Sans" w:hAnsi="Work Sans" w:cs="Arial"/>
          <w:b w:val="1"/>
          <w:bCs w:val="1"/>
          <w:sz w:val="24"/>
          <w:szCs w:val="24"/>
          <w:u w:val="single"/>
        </w:rPr>
        <w:t xml:space="preserve"> San Marcos 500/230 kV y La Virginia 500/230 kV, y sus bahías de transformación 500 kV y 230 kV asociadas</w:t>
      </w:r>
    </w:p>
    <w:p w:rsidR="377F8B11" w:rsidP="377F8B11" w:rsidRDefault="377F8B11" w14:paraId="3FB84F5A" w14:textId="5D5883CE">
      <w:pPr>
        <w:tabs>
          <w:tab w:val="left" w:pos="4650"/>
        </w:tabs>
        <w:spacing w:after="0"/>
        <w:ind w:right="51"/>
        <w:contextualSpacing/>
        <w:jc w:val="both"/>
        <w:rPr>
          <w:rFonts w:ascii="Work Sans" w:hAnsi="Work Sans" w:cs="Arial"/>
          <w:b/>
          <w:bCs/>
          <w:sz w:val="24"/>
          <w:szCs w:val="24"/>
          <w:u w:val="single"/>
        </w:rPr>
      </w:pPr>
    </w:p>
    <w:p w:rsidR="00F25BE0" w:rsidP="007250AE" w:rsidRDefault="00F25BE0" w14:paraId="133888B2" w14:textId="36930656">
      <w:pPr>
        <w:tabs>
          <w:tab w:val="left" w:pos="4650"/>
        </w:tabs>
        <w:spacing w:after="0"/>
        <w:ind w:left="708" w:right="51"/>
        <w:contextualSpacing/>
        <w:jc w:val="both"/>
        <w:rPr>
          <w:rFonts w:ascii="Work Sans" w:hAnsi="Work Sans" w:cs="Arial"/>
          <w:b/>
          <w:bCs/>
          <w:sz w:val="24"/>
          <w:szCs w:val="24"/>
        </w:rPr>
      </w:pPr>
      <w:r w:rsidRPr="12AE42D8" w:rsidR="00F25BE0">
        <w:rPr>
          <w:rFonts w:ascii="Work Sans" w:hAnsi="Work Sans" w:cs="Arial"/>
          <w:b w:val="1"/>
          <w:bCs w:val="1"/>
          <w:sz w:val="24"/>
          <w:szCs w:val="24"/>
        </w:rPr>
        <w:t>Alcance:</w:t>
      </w:r>
      <w:r w:rsidRPr="12AE42D8" w:rsidR="00660B60">
        <w:rPr>
          <w:rFonts w:ascii="Work Sans" w:hAnsi="Work Sans" w:cs="Arial"/>
          <w:sz w:val="24"/>
          <w:szCs w:val="24"/>
        </w:rPr>
        <w:t xml:space="preserve"> </w:t>
      </w:r>
      <w:r w:rsidRPr="12AE42D8" w:rsidR="00660B60">
        <w:rPr>
          <w:rFonts w:ascii="Work Sans" w:hAnsi="Work Sans" w:cs="Arial"/>
          <w:sz w:val="24"/>
          <w:szCs w:val="24"/>
        </w:rPr>
        <w:t xml:space="preserve">La obra comprende </w:t>
      </w:r>
      <w:r w:rsidRPr="12AE42D8" w:rsidR="00660B60">
        <w:rPr>
          <w:rFonts w:ascii="Work Sans" w:hAnsi="Work Sans" w:cs="Arial"/>
          <w:sz w:val="24"/>
          <w:szCs w:val="24"/>
        </w:rPr>
        <w:t>las</w:t>
      </w:r>
      <w:r w:rsidRPr="12AE42D8" w:rsidR="00660B60">
        <w:rPr>
          <w:rFonts w:ascii="Work Sans" w:hAnsi="Work Sans" w:cs="Arial"/>
          <w:sz w:val="24"/>
          <w:szCs w:val="24"/>
        </w:rPr>
        <w:t xml:space="preserve"> intervenciones descrit</w:t>
      </w:r>
      <w:r w:rsidRPr="12AE42D8" w:rsidR="00660B60">
        <w:rPr>
          <w:rFonts w:ascii="Work Sans" w:hAnsi="Work Sans" w:cs="Arial"/>
          <w:sz w:val="24"/>
          <w:szCs w:val="24"/>
        </w:rPr>
        <w:t>a</w:t>
      </w:r>
      <w:r w:rsidRPr="12AE42D8" w:rsidR="00660B60">
        <w:rPr>
          <w:rFonts w:ascii="Work Sans" w:hAnsi="Work Sans" w:cs="Arial"/>
          <w:sz w:val="24"/>
          <w:szCs w:val="24"/>
        </w:rPr>
        <w:t>s a continuación:</w:t>
      </w:r>
    </w:p>
    <w:p w:rsidR="12AE42D8" w:rsidP="12AE42D8" w:rsidRDefault="12AE42D8" w14:paraId="7398CC48" w14:textId="100B7D46">
      <w:pPr>
        <w:tabs>
          <w:tab w:val="left" w:leader="none" w:pos="4650"/>
        </w:tabs>
        <w:spacing w:after="0"/>
        <w:ind w:left="708" w:right="51"/>
        <w:contextualSpacing w:val="1"/>
        <w:jc w:val="both"/>
        <w:rPr>
          <w:rFonts w:ascii="Work Sans" w:hAnsi="Work Sans" w:cs="Arial"/>
          <w:sz w:val="24"/>
          <w:szCs w:val="24"/>
        </w:rPr>
      </w:pPr>
    </w:p>
    <w:p w:rsidRPr="00EA2FC0" w:rsidR="00EA2FC0" w:rsidP="12AE42D8" w:rsidRDefault="007C1ADD" w14:paraId="5C40E818" w14:textId="22CB29C0">
      <w:pPr>
        <w:pStyle w:val="ListParagraph"/>
        <w:numPr>
          <w:ilvl w:val="0"/>
          <w:numId w:val="1"/>
        </w:numPr>
        <w:suppressLineNumbers w:val="0"/>
        <w:tabs>
          <w:tab w:val="left" w:leader="none" w:pos="4650"/>
        </w:tabs>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13ED07C0">
        <w:rPr>
          <w:rFonts w:ascii="Work Sans" w:hAnsi="Work Sans" w:cs="Arial"/>
          <w:sz w:val="24"/>
          <w:szCs w:val="24"/>
          <w:highlight w:val="yellow"/>
        </w:rPr>
        <w:t>Instalación de un segundo banco de autotransformadores monofásicos 500/230 kV de 450 MVA en la subestación La Virginia 500/230 kV.</w:t>
      </w:r>
      <w:r w:rsidRPr="12AE42D8" w:rsidR="13ED07C0">
        <w:rPr>
          <w:rFonts w:ascii="Work Sans" w:hAnsi="Work Sans" w:cs="Arial"/>
          <w:sz w:val="24"/>
          <w:szCs w:val="24"/>
        </w:rPr>
        <w:t xml:space="preserve"> </w:t>
      </w:r>
    </w:p>
    <w:p w:rsidRPr="00EA2FC0" w:rsidR="00EA2FC0" w:rsidP="12AE42D8" w:rsidRDefault="007C1ADD" w14:paraId="24EA7CA8" w14:textId="0169B0FD">
      <w:pPr>
        <w:pStyle w:val="ListParagraph"/>
        <w:numPr>
          <w:ilvl w:val="0"/>
          <w:numId w:val="1"/>
        </w:numPr>
        <w:suppressLineNumbers w:val="0"/>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13ED07C0">
        <w:rPr>
          <w:rFonts w:ascii="Work Sans" w:hAnsi="Work Sans" w:cs="Arial"/>
          <w:sz w:val="24"/>
          <w:szCs w:val="24"/>
          <w:highlight w:val="yellow"/>
        </w:rPr>
        <w:t>Construcción de una (1) bahía de transformación a nivel de 500 kV en la subestación La Virginia 500/230 kV.</w:t>
      </w:r>
      <w:r w:rsidRPr="12AE42D8" w:rsidR="13ED07C0">
        <w:rPr>
          <w:rFonts w:ascii="Work Sans" w:hAnsi="Work Sans" w:cs="Arial"/>
          <w:sz w:val="24"/>
          <w:szCs w:val="24"/>
        </w:rPr>
        <w:t xml:space="preserve"> </w:t>
      </w:r>
    </w:p>
    <w:p w:rsidRPr="00EA2FC0" w:rsidR="00EA2FC0" w:rsidP="12AE42D8" w:rsidRDefault="007C1ADD" w14:paraId="7857A215" w14:textId="21B9BA33">
      <w:pPr>
        <w:pStyle w:val="ListParagraph"/>
        <w:numPr>
          <w:ilvl w:val="0"/>
          <w:numId w:val="1"/>
        </w:numPr>
        <w:suppressLineNumbers w:val="0"/>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13ED07C0">
        <w:rPr>
          <w:rFonts w:ascii="Work Sans" w:hAnsi="Work Sans" w:cs="Arial"/>
          <w:sz w:val="24"/>
          <w:szCs w:val="24"/>
          <w:highlight w:val="yellow"/>
        </w:rPr>
        <w:t>Construcción de una (1) bahía de transformación a nivel de 230 kV en la subestación La Virginia 500/230 kV.</w:t>
      </w:r>
      <w:r w:rsidRPr="12AE42D8" w:rsidR="13ED07C0">
        <w:rPr>
          <w:rFonts w:ascii="Work Sans" w:hAnsi="Work Sans" w:cs="Arial"/>
          <w:sz w:val="24"/>
          <w:szCs w:val="24"/>
        </w:rPr>
        <w:t xml:space="preserve"> </w:t>
      </w:r>
    </w:p>
    <w:p w:rsidRPr="00EA2FC0" w:rsidR="00EA2FC0" w:rsidP="12AE42D8" w:rsidRDefault="007C1ADD" w14:paraId="48B2CCBF" w14:textId="27F50C1F">
      <w:pPr>
        <w:pStyle w:val="ListParagraph"/>
        <w:numPr>
          <w:ilvl w:val="0"/>
          <w:numId w:val="1"/>
        </w:numPr>
        <w:suppressLineNumbers w:val="0"/>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13ED07C0">
        <w:rPr>
          <w:rFonts w:ascii="Work Sans" w:hAnsi="Work Sans" w:cs="Arial"/>
          <w:sz w:val="24"/>
          <w:szCs w:val="24"/>
          <w:highlight w:val="yellow"/>
        </w:rPr>
        <w:t>Instalación de un segundo banco de autotransformadores monofásicos 500/230 kV de 450 MVA en la subestación San Marcos 500/230 kV.</w:t>
      </w:r>
      <w:r w:rsidRPr="12AE42D8" w:rsidR="13ED07C0">
        <w:rPr>
          <w:rFonts w:ascii="Work Sans" w:hAnsi="Work Sans" w:cs="Arial"/>
          <w:sz w:val="24"/>
          <w:szCs w:val="24"/>
        </w:rPr>
        <w:t xml:space="preserve"> </w:t>
      </w:r>
    </w:p>
    <w:p w:rsidRPr="00EA2FC0" w:rsidR="00EA2FC0" w:rsidP="12AE42D8" w:rsidRDefault="007C1ADD" w14:paraId="3B4475C0" w14:textId="6A5DFAB3">
      <w:pPr>
        <w:pStyle w:val="ListParagraph"/>
        <w:numPr>
          <w:ilvl w:val="0"/>
          <w:numId w:val="1"/>
        </w:numPr>
        <w:suppressLineNumbers w:val="0"/>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13ED07C0">
        <w:rPr>
          <w:rFonts w:ascii="Work Sans" w:hAnsi="Work Sans" w:cs="Arial"/>
          <w:sz w:val="24"/>
          <w:szCs w:val="24"/>
          <w:highlight w:val="yellow"/>
        </w:rPr>
        <w:t>Construcción de una (1) bahía de transformación a nivel de 500 kV en la subestación San Marcos 500/230 kV.</w:t>
      </w:r>
      <w:r w:rsidRPr="12AE42D8" w:rsidR="13ED07C0">
        <w:rPr>
          <w:rFonts w:ascii="Work Sans" w:hAnsi="Work Sans" w:cs="Arial"/>
          <w:sz w:val="24"/>
          <w:szCs w:val="24"/>
        </w:rPr>
        <w:t xml:space="preserve"> </w:t>
      </w:r>
    </w:p>
    <w:p w:rsidRPr="00EA2FC0" w:rsidR="00EA2FC0" w:rsidP="12AE42D8" w:rsidRDefault="007C1ADD" w14:paraId="27033DDA" w14:textId="1244C403">
      <w:pPr>
        <w:pStyle w:val="ListParagraph"/>
        <w:numPr>
          <w:ilvl w:val="0"/>
          <w:numId w:val="1"/>
        </w:numPr>
        <w:suppressLineNumbers w:val="0"/>
        <w:bidi w:val="0"/>
        <w:spacing w:before="0" w:beforeAutospacing="off" w:after="0" w:afterAutospacing="off" w:line="276" w:lineRule="auto"/>
        <w:ind w:left="1428" w:right="51" w:hanging="360"/>
        <w:jc w:val="both"/>
        <w:rPr>
          <w:rFonts w:ascii="Work Sans" w:hAnsi="Work Sans" w:cs="Arial"/>
          <w:sz w:val="24"/>
          <w:szCs w:val="24"/>
          <w:highlight w:val="yellow"/>
        </w:rPr>
      </w:pPr>
      <w:r w:rsidRPr="12AE42D8" w:rsidR="13ED07C0">
        <w:rPr>
          <w:rFonts w:ascii="Work Sans" w:hAnsi="Work Sans" w:cs="Arial"/>
          <w:sz w:val="24"/>
          <w:szCs w:val="24"/>
          <w:highlight w:val="yellow"/>
        </w:rPr>
        <w:t>Construcción de una (1) bahía de transformación a nivel de 230 kV en la subestación San Marcos 500/230 kV.</w:t>
      </w:r>
      <w:r w:rsidRPr="12AE42D8" w:rsidR="00EA2FC0">
        <w:rPr>
          <w:rFonts w:ascii="Work Sans" w:hAnsi="Work Sans" w:cs="Arial"/>
          <w:sz w:val="24"/>
          <w:szCs w:val="24"/>
        </w:rPr>
        <w:t xml:space="preserve"> </w:t>
      </w:r>
    </w:p>
    <w:p w:rsidR="00EA2FC0" w:rsidP="007250AE" w:rsidRDefault="00EA2FC0" w14:paraId="423A5FDA" w14:textId="77777777">
      <w:pPr>
        <w:tabs>
          <w:tab w:val="left" w:pos="4650"/>
        </w:tabs>
        <w:spacing w:after="0"/>
        <w:ind w:left="708" w:right="51"/>
        <w:contextualSpacing/>
        <w:jc w:val="both"/>
        <w:rPr>
          <w:rFonts w:ascii="Work Sans" w:hAnsi="Work Sans" w:eastAsia="Arial" w:cs="Arial"/>
          <w:sz w:val="24"/>
          <w:szCs w:val="24"/>
        </w:rPr>
      </w:pPr>
    </w:p>
    <w:p w:rsidRPr="00220EF9" w:rsidR="00F25BE0" w:rsidP="12AE42D8" w:rsidRDefault="00F25BE0" w14:paraId="492EDCC4" w14:textId="5A58866A">
      <w:pPr>
        <w:tabs>
          <w:tab w:val="left" w:pos="4650"/>
        </w:tabs>
        <w:spacing w:after="0"/>
        <w:ind w:left="708" w:right="51"/>
        <w:contextualSpacing w:val="1"/>
        <w:jc w:val="both"/>
        <w:rPr>
          <w:rFonts w:ascii="Work Sans" w:hAnsi="Work Sans" w:eastAsia="Work Sans" w:cs="Work Sans"/>
          <w:b w:val="1"/>
          <w:bCs w:val="1"/>
          <w:color w:val="000000" w:themeColor="text1"/>
          <w:sz w:val="24"/>
          <w:szCs w:val="24"/>
        </w:rPr>
      </w:pPr>
      <w:r w:rsidRPr="12AE42D8" w:rsidR="00F25BE0">
        <w:rPr>
          <w:rFonts w:ascii="Work Sans" w:hAnsi="Work Sans" w:eastAsia="Work Sans" w:cs="Work Sans"/>
          <w:b w:val="1"/>
          <w:bCs w:val="1"/>
          <w:color w:val="000000" w:themeColor="text1" w:themeTint="FF" w:themeShade="FF"/>
          <w:sz w:val="24"/>
          <w:szCs w:val="24"/>
        </w:rPr>
        <w:t>Impacto de la obra:</w:t>
      </w:r>
      <w:r w:rsidRPr="12AE42D8" w:rsidR="00F25BE0">
        <w:rPr>
          <w:rFonts w:ascii="Work Sans" w:hAnsi="Work Sans" w:eastAsia="Work Sans" w:cs="Work Sans"/>
          <w:b w:val="1"/>
          <w:bCs w:val="1"/>
          <w:color w:val="000000" w:themeColor="text1" w:themeTint="FF" w:themeShade="FF"/>
          <w:sz w:val="24"/>
          <w:szCs w:val="24"/>
        </w:rPr>
        <w:t xml:space="preserve"> </w:t>
      </w:r>
      <w:r w:rsidRPr="12AE42D8" w:rsidR="00D51BF3">
        <w:rPr>
          <w:rFonts w:ascii="Work Sans" w:hAnsi="Work Sans" w:eastAsia="Work Sans" w:cs="Work Sans"/>
          <w:color w:val="000000" w:themeColor="text1" w:themeTint="FF" w:themeShade="FF"/>
          <w:sz w:val="24"/>
          <w:szCs w:val="24"/>
        </w:rPr>
        <w:t xml:space="preserve">La incorporación de los segundos </w:t>
      </w:r>
      <w:r w:rsidRPr="12AE42D8" w:rsidR="76F19282">
        <w:rPr>
          <w:rFonts w:ascii="Work Sans" w:hAnsi="Work Sans" w:eastAsia="Work Sans" w:cs="Work Sans"/>
          <w:color w:val="000000" w:themeColor="text1" w:themeTint="FF" w:themeShade="FF"/>
          <w:sz w:val="24"/>
          <w:szCs w:val="24"/>
          <w:highlight w:val="yellow"/>
        </w:rPr>
        <w:t>auto</w:t>
      </w:r>
      <w:r w:rsidRPr="12AE42D8" w:rsidR="00D51BF3">
        <w:rPr>
          <w:rFonts w:ascii="Work Sans" w:hAnsi="Work Sans" w:eastAsia="Work Sans" w:cs="Work Sans"/>
          <w:color w:val="000000" w:themeColor="text1" w:themeTint="FF" w:themeShade="FF"/>
          <w:sz w:val="24"/>
          <w:szCs w:val="24"/>
          <w:highlight w:val="yellow"/>
        </w:rPr>
        <w:t>transformadores</w:t>
      </w:r>
      <w:r w:rsidRPr="12AE42D8" w:rsidR="00D51BF3">
        <w:rPr>
          <w:rFonts w:ascii="Work Sans" w:hAnsi="Work Sans" w:eastAsia="Work Sans" w:cs="Work Sans"/>
          <w:color w:val="000000" w:themeColor="text1" w:themeTint="FF" w:themeShade="FF"/>
          <w:sz w:val="24"/>
          <w:szCs w:val="24"/>
        </w:rPr>
        <w:t xml:space="preserve"> 500/230 kV en las subestaciones La Virginia y San Marcos fortalece estructuralmente el área Suroccidental del SIN, al mejorar la confiabilidad, la seguridad del suministro y la flexibilidad operativa. Esta obra permite ampliar la capacidad de importación de energía desde el STN, mitigar las restricciones derivadas de contingencias e indisponibilidades del sistema, reducir la dependencia de medidas operativas extraordinarias y garantizar una atención adecuada del crecimiento de la demanda, contribuyendo a una operación más robusta, eficiente y resiliente del sistema eléctrico en la región.</w:t>
      </w:r>
    </w:p>
    <w:p w:rsidR="00F25BE0" w:rsidP="007250AE" w:rsidRDefault="00F25BE0" w14:paraId="25D8256B" w14:textId="77777777">
      <w:pPr>
        <w:tabs>
          <w:tab w:val="left" w:pos="4650"/>
        </w:tabs>
        <w:spacing w:after="0"/>
        <w:ind w:left="708" w:right="51"/>
        <w:contextualSpacing/>
        <w:jc w:val="both"/>
        <w:rPr>
          <w:rFonts w:ascii="Work Sans" w:hAnsi="Work Sans" w:eastAsia="Work Sans" w:cs="Work Sans"/>
          <w:color w:val="000000" w:themeColor="text1"/>
          <w:sz w:val="24"/>
          <w:szCs w:val="24"/>
        </w:rPr>
      </w:pPr>
    </w:p>
    <w:p w:rsidRPr="006936D0" w:rsidR="00F25BE0" w:rsidP="007250AE" w:rsidRDefault="00F25BE0" w14:paraId="70204805" w14:textId="41468374">
      <w:pPr>
        <w:tabs>
          <w:tab w:val="left" w:pos="4650"/>
        </w:tabs>
        <w:spacing w:after="0"/>
        <w:ind w:left="708" w:right="51"/>
        <w:contextualSpacing/>
        <w:jc w:val="both"/>
        <w:rPr>
          <w:rFonts w:ascii="Work Sans" w:hAnsi="Work Sans" w:eastAsia="Work Sans" w:cs="Work Sans"/>
          <w:color w:val="000000" w:themeColor="text1"/>
          <w:sz w:val="24"/>
          <w:szCs w:val="24"/>
        </w:rPr>
      </w:pPr>
      <w:r w:rsidRPr="005137ED">
        <w:rPr>
          <w:rFonts w:ascii="Work Sans" w:hAnsi="Work Sans" w:eastAsia="Work Sans" w:cs="Work Sans"/>
          <w:b/>
          <w:bCs/>
          <w:color w:val="000000" w:themeColor="text1"/>
          <w:sz w:val="24"/>
          <w:szCs w:val="24"/>
        </w:rPr>
        <w:t>Relación beneficio/costo (B/C):</w:t>
      </w:r>
      <w:r>
        <w:rPr>
          <w:rFonts w:ascii="Work Sans" w:hAnsi="Work Sans" w:eastAsia="Work Sans" w:cs="Work Sans"/>
          <w:color w:val="000000" w:themeColor="text1"/>
          <w:sz w:val="24"/>
          <w:szCs w:val="24"/>
        </w:rPr>
        <w:t xml:space="preserve"> </w:t>
      </w:r>
      <w:r w:rsidRPr="006936D0">
        <w:rPr>
          <w:rFonts w:ascii="Work Sans" w:hAnsi="Work Sans" w:eastAsia="Work Sans" w:cs="Work Sans"/>
          <w:color w:val="000000" w:themeColor="text1"/>
          <w:sz w:val="24"/>
          <w:szCs w:val="24"/>
        </w:rPr>
        <w:t xml:space="preserve">En </w:t>
      </w:r>
      <w:r>
        <w:rPr>
          <w:rFonts w:ascii="Work Sans" w:hAnsi="Work Sans" w:eastAsia="Work Sans" w:cs="Work Sans"/>
          <w:color w:val="000000" w:themeColor="text1"/>
          <w:sz w:val="24"/>
          <w:szCs w:val="24"/>
        </w:rPr>
        <w:t xml:space="preserve">el </w:t>
      </w:r>
      <w:r w:rsidRPr="006936D0">
        <w:rPr>
          <w:rFonts w:ascii="Work Sans" w:hAnsi="Work Sans" w:eastAsia="Work Sans" w:cs="Work Sans"/>
          <w:color w:val="000000" w:themeColor="text1"/>
          <w:sz w:val="24"/>
          <w:szCs w:val="24"/>
        </w:rPr>
        <w:t xml:space="preserve">análisis hecho por la UPME y presentado en los documentos técnicos de soporte, la relación beneficio/costo (B/C) </w:t>
      </w:r>
      <w:r w:rsidRPr="0073176A">
        <w:rPr>
          <w:rFonts w:ascii="Work Sans" w:hAnsi="Work Sans" w:eastAsia="Work Sans" w:cs="Work Sans"/>
          <w:color w:val="000000" w:themeColor="text1"/>
          <w:sz w:val="24"/>
          <w:szCs w:val="24"/>
        </w:rPr>
        <w:t xml:space="preserve">calculada es </w:t>
      </w:r>
      <w:r w:rsidRPr="0073176A" w:rsidR="00EC2C47">
        <w:rPr>
          <w:rFonts w:ascii="Work Sans" w:hAnsi="Work Sans" w:eastAsia="Work Sans" w:cs="Work Sans"/>
          <w:color w:val="000000" w:themeColor="text1"/>
          <w:sz w:val="24"/>
          <w:szCs w:val="24"/>
        </w:rPr>
        <w:t>3.01</w:t>
      </w:r>
      <w:r w:rsidRPr="0073176A">
        <w:rPr>
          <w:rFonts w:ascii="Work Sans" w:hAnsi="Work Sans" w:eastAsia="Work Sans" w:cs="Work Sans"/>
          <w:color w:val="000000" w:themeColor="text1"/>
          <w:sz w:val="24"/>
          <w:szCs w:val="24"/>
        </w:rPr>
        <w:t>, superior a 1.</w:t>
      </w:r>
    </w:p>
    <w:p w:rsidRPr="00957AD8" w:rsidR="007536C8" w:rsidP="007250AE" w:rsidRDefault="007536C8" w14:paraId="053FC751" w14:textId="77777777">
      <w:pPr>
        <w:tabs>
          <w:tab w:val="left" w:pos="4650"/>
        </w:tabs>
        <w:spacing w:after="0"/>
        <w:ind w:right="51"/>
        <w:contextualSpacing/>
        <w:jc w:val="both"/>
        <w:rPr>
          <w:rFonts w:ascii="Work Sans" w:hAnsi="Work Sans" w:cs="Arial"/>
          <w:b/>
          <w:bCs/>
          <w:sz w:val="24"/>
          <w:szCs w:val="24"/>
        </w:rPr>
      </w:pPr>
    </w:p>
    <w:p w:rsidRPr="00957AD8" w:rsidR="00500B8A" w:rsidP="007250AE" w:rsidRDefault="00500B8A" w14:paraId="1D3327A7" w14:textId="77777777">
      <w:pPr>
        <w:tabs>
          <w:tab w:val="left" w:pos="4650"/>
        </w:tabs>
        <w:spacing w:after="0"/>
        <w:ind w:right="51"/>
        <w:contextualSpacing/>
        <w:jc w:val="both"/>
        <w:rPr>
          <w:rFonts w:ascii="Work Sans" w:hAnsi="Work Sans" w:cs="Arial"/>
          <w:b/>
          <w:bCs/>
          <w:sz w:val="24"/>
          <w:szCs w:val="24"/>
        </w:rPr>
      </w:pPr>
      <w:r w:rsidRPr="00957AD8">
        <w:rPr>
          <w:rFonts w:ascii="Work Sans" w:hAnsi="Work Sans" w:cs="Arial"/>
          <w:b/>
          <w:bCs/>
          <w:sz w:val="24"/>
          <w:szCs w:val="24"/>
        </w:rPr>
        <w:t>4. Recomendación</w:t>
      </w:r>
    </w:p>
    <w:p w:rsidRPr="00957AD8" w:rsidR="00500B8A" w:rsidP="007250AE" w:rsidRDefault="00500B8A" w14:paraId="4E84F88D" w14:textId="77777777">
      <w:pPr>
        <w:tabs>
          <w:tab w:val="left" w:pos="4650"/>
        </w:tabs>
        <w:spacing w:after="0"/>
        <w:ind w:right="51"/>
        <w:contextualSpacing/>
        <w:jc w:val="both"/>
        <w:rPr>
          <w:rFonts w:ascii="Work Sans" w:hAnsi="Work Sans" w:cs="Arial"/>
          <w:b/>
          <w:bCs/>
          <w:sz w:val="24"/>
          <w:szCs w:val="24"/>
        </w:rPr>
      </w:pPr>
    </w:p>
    <w:p w:rsidRPr="00AA20EC" w:rsidR="00957AD8" w:rsidP="007250AE" w:rsidRDefault="7EDA4F6F" w14:paraId="1C363D5F" w14:textId="701B2492">
      <w:pPr>
        <w:tabs>
          <w:tab w:val="left" w:pos="4650"/>
        </w:tabs>
        <w:spacing w:after="0"/>
        <w:ind w:right="51"/>
        <w:contextualSpacing/>
        <w:jc w:val="both"/>
        <w:rPr>
          <w:rFonts w:ascii="Work Sans" w:hAnsi="Work Sans" w:cs="Arial"/>
          <w:i/>
          <w:iCs/>
          <w:sz w:val="24"/>
          <w:szCs w:val="24"/>
        </w:rPr>
      </w:pPr>
      <w:r w:rsidRPr="100F86B7">
        <w:rPr>
          <w:rFonts w:ascii="Work Sans" w:hAnsi="Work Sans" w:cs="Arial"/>
          <w:sz w:val="24"/>
          <w:szCs w:val="24"/>
        </w:rPr>
        <w:t>Teniendo en cuenta la importancia de estas obras en la confiabilidad del Sistema Interconectado Nacional</w:t>
      </w:r>
      <w:r w:rsidRPr="100F86B7" w:rsidR="77E43D9A">
        <w:rPr>
          <w:rFonts w:ascii="Work Sans" w:hAnsi="Work Sans" w:cs="Arial"/>
          <w:sz w:val="24"/>
          <w:szCs w:val="24"/>
        </w:rPr>
        <w:t xml:space="preserve"> (SIN)</w:t>
      </w:r>
      <w:r w:rsidRPr="100F86B7">
        <w:rPr>
          <w:rFonts w:ascii="Work Sans" w:hAnsi="Work Sans" w:cs="Arial"/>
          <w:sz w:val="24"/>
          <w:szCs w:val="24"/>
        </w:rPr>
        <w:t>, acogiendo las recomendaciones del Comité Asesor de Planeamiento de la Transmisión</w:t>
      </w:r>
      <w:r w:rsidRPr="100F86B7" w:rsidR="1164F86E">
        <w:rPr>
          <w:rFonts w:ascii="Work Sans" w:hAnsi="Work Sans" w:cs="Arial"/>
          <w:sz w:val="24"/>
          <w:szCs w:val="24"/>
        </w:rPr>
        <w:t xml:space="preserve"> (</w:t>
      </w:r>
      <w:r w:rsidRPr="100F86B7">
        <w:rPr>
          <w:rFonts w:ascii="Work Sans" w:hAnsi="Work Sans" w:cs="Arial"/>
          <w:sz w:val="24"/>
          <w:szCs w:val="24"/>
        </w:rPr>
        <w:t>CAPT</w:t>
      </w:r>
      <w:r w:rsidRPr="100F86B7" w:rsidR="3C659D60">
        <w:rPr>
          <w:rFonts w:ascii="Work Sans" w:hAnsi="Work Sans" w:cs="Arial"/>
          <w:sz w:val="24"/>
          <w:szCs w:val="24"/>
        </w:rPr>
        <w:t xml:space="preserve"> – Acta</w:t>
      </w:r>
      <w:r w:rsidR="008A2A9C">
        <w:rPr>
          <w:rFonts w:ascii="Work Sans" w:hAnsi="Work Sans" w:cs="Arial"/>
          <w:sz w:val="24"/>
          <w:szCs w:val="24"/>
        </w:rPr>
        <w:t>s</w:t>
      </w:r>
      <w:r w:rsidRPr="100F86B7" w:rsidR="3C659D60">
        <w:rPr>
          <w:rFonts w:ascii="Work Sans" w:hAnsi="Work Sans" w:cs="Arial"/>
          <w:sz w:val="24"/>
          <w:szCs w:val="24"/>
        </w:rPr>
        <w:t xml:space="preserve"> 21</w:t>
      </w:r>
      <w:r w:rsidR="008F5D9A">
        <w:rPr>
          <w:rFonts w:ascii="Work Sans" w:hAnsi="Work Sans" w:cs="Arial"/>
          <w:sz w:val="24"/>
          <w:szCs w:val="24"/>
        </w:rPr>
        <w:t>2, 213, 214 y 215</w:t>
      </w:r>
      <w:r w:rsidRPr="100F86B7" w:rsidR="3835840A">
        <w:rPr>
          <w:rFonts w:ascii="Work Sans" w:hAnsi="Work Sans" w:cs="Arial"/>
          <w:sz w:val="24"/>
          <w:szCs w:val="24"/>
        </w:rPr>
        <w:t>)</w:t>
      </w:r>
      <w:r w:rsidRPr="100F86B7">
        <w:rPr>
          <w:rFonts w:ascii="Work Sans" w:hAnsi="Work Sans" w:cs="Arial"/>
          <w:sz w:val="24"/>
          <w:szCs w:val="24"/>
        </w:rPr>
        <w:t>, atendiendo la solicitud y recomendaciones técnicas de la UPME, y después de hacer revisión de los estudios allegados al Ministerio, la Dirección de Energía Eléctrica, encuentra pertinente</w:t>
      </w:r>
      <w:r w:rsidR="002A0F7B">
        <w:rPr>
          <w:rFonts w:ascii="Work Sans" w:hAnsi="Work Sans" w:cs="Arial"/>
          <w:sz w:val="24"/>
          <w:szCs w:val="24"/>
        </w:rPr>
        <w:t xml:space="preserve"> </w:t>
      </w:r>
      <w:r w:rsidR="0029670B">
        <w:rPr>
          <w:rFonts w:ascii="Work Sans" w:hAnsi="Work Sans" w:cs="Arial"/>
          <w:sz w:val="24"/>
          <w:szCs w:val="24"/>
        </w:rPr>
        <w:t xml:space="preserve">adoptar el </w:t>
      </w:r>
      <w:r w:rsidRPr="100F86B7" w:rsidR="0029670B">
        <w:rPr>
          <w:rFonts w:ascii="Work Sans" w:hAnsi="Work Sans" w:cs="Arial"/>
          <w:sz w:val="24"/>
          <w:szCs w:val="24"/>
        </w:rPr>
        <w:t>Plan de Expansión de Transmisión 202</w:t>
      </w:r>
      <w:r w:rsidR="0029670B">
        <w:rPr>
          <w:rFonts w:ascii="Work Sans" w:hAnsi="Work Sans" w:cs="Arial"/>
          <w:sz w:val="24"/>
          <w:szCs w:val="24"/>
        </w:rPr>
        <w:t>5</w:t>
      </w:r>
      <w:r w:rsidRPr="100F86B7" w:rsidR="0029670B">
        <w:rPr>
          <w:rFonts w:ascii="Work Sans" w:hAnsi="Work Sans" w:cs="Arial"/>
          <w:sz w:val="24"/>
          <w:szCs w:val="24"/>
        </w:rPr>
        <w:t xml:space="preserve"> </w:t>
      </w:r>
      <w:r w:rsidR="0029670B">
        <w:rPr>
          <w:rFonts w:ascii="Work Sans" w:hAnsi="Work Sans" w:cs="Arial"/>
          <w:sz w:val="24"/>
          <w:szCs w:val="24"/>
        </w:rPr>
        <w:t>–</w:t>
      </w:r>
      <w:r w:rsidRPr="100F86B7" w:rsidR="0029670B">
        <w:rPr>
          <w:rFonts w:ascii="Work Sans" w:hAnsi="Work Sans" w:cs="Arial"/>
          <w:sz w:val="24"/>
          <w:szCs w:val="24"/>
        </w:rPr>
        <w:t xml:space="preserve"> 203</w:t>
      </w:r>
      <w:r w:rsidR="0029670B">
        <w:rPr>
          <w:rFonts w:ascii="Work Sans" w:hAnsi="Work Sans" w:cs="Arial"/>
          <w:sz w:val="24"/>
          <w:szCs w:val="24"/>
        </w:rPr>
        <w:t>9 mediante la expedición</w:t>
      </w:r>
      <w:r w:rsidR="00C965A5">
        <w:rPr>
          <w:rFonts w:ascii="Work Sans" w:hAnsi="Work Sans" w:cs="Arial"/>
          <w:sz w:val="24"/>
          <w:szCs w:val="24"/>
        </w:rPr>
        <w:t xml:space="preserve"> de la R</w:t>
      </w:r>
      <w:r w:rsidRPr="100F86B7" w:rsidR="3C6B498B">
        <w:rPr>
          <w:rFonts w:ascii="Work Sans" w:hAnsi="Work Sans" w:cs="Arial"/>
          <w:sz w:val="24"/>
          <w:szCs w:val="24"/>
        </w:rPr>
        <w:t xml:space="preserve">esolución </w:t>
      </w:r>
      <w:r w:rsidRPr="00AA20EC" w:rsidR="00AA20EC">
        <w:rPr>
          <w:rFonts w:ascii="Work Sans" w:hAnsi="Work Sans" w:cs="Arial"/>
          <w:i/>
          <w:iCs/>
          <w:sz w:val="24"/>
          <w:szCs w:val="24"/>
        </w:rPr>
        <w:t>“P</w:t>
      </w:r>
      <w:r w:rsidRPr="00AA20EC" w:rsidR="63D830AE">
        <w:rPr>
          <w:rFonts w:ascii="Work Sans" w:hAnsi="Work Sans" w:cs="Arial"/>
          <w:i/>
          <w:iCs/>
          <w:sz w:val="24"/>
          <w:szCs w:val="24"/>
        </w:rPr>
        <w:t>or medio de la cual se adopta el Plan de Expansión de Transmisión 202</w:t>
      </w:r>
      <w:r w:rsidRPr="00AA20EC" w:rsidR="0029670B">
        <w:rPr>
          <w:rFonts w:ascii="Work Sans" w:hAnsi="Work Sans" w:cs="Arial"/>
          <w:i/>
          <w:iCs/>
          <w:sz w:val="24"/>
          <w:szCs w:val="24"/>
        </w:rPr>
        <w:t>5</w:t>
      </w:r>
      <w:r w:rsidRPr="00AA20EC" w:rsidR="63D830AE">
        <w:rPr>
          <w:rFonts w:ascii="Work Sans" w:hAnsi="Work Sans" w:cs="Arial"/>
          <w:i/>
          <w:iCs/>
          <w:sz w:val="24"/>
          <w:szCs w:val="24"/>
        </w:rPr>
        <w:t xml:space="preserve"> </w:t>
      </w:r>
      <w:r w:rsidRPr="00AA20EC" w:rsidR="21D07515">
        <w:rPr>
          <w:rFonts w:ascii="Work Sans" w:hAnsi="Work Sans" w:cs="Arial"/>
          <w:i/>
          <w:iCs/>
          <w:sz w:val="24"/>
          <w:szCs w:val="24"/>
        </w:rPr>
        <w:t>-</w:t>
      </w:r>
      <w:r w:rsidRPr="00AA20EC" w:rsidR="63D830AE">
        <w:rPr>
          <w:rFonts w:ascii="Work Sans" w:hAnsi="Work Sans" w:cs="Arial"/>
          <w:i/>
          <w:iCs/>
          <w:sz w:val="24"/>
          <w:szCs w:val="24"/>
        </w:rPr>
        <w:t xml:space="preserve"> 203</w:t>
      </w:r>
      <w:r w:rsidRPr="00AA20EC" w:rsidR="0029670B">
        <w:rPr>
          <w:rFonts w:ascii="Work Sans" w:hAnsi="Work Sans" w:cs="Arial"/>
          <w:i/>
          <w:iCs/>
          <w:sz w:val="24"/>
          <w:szCs w:val="24"/>
        </w:rPr>
        <w:t>9</w:t>
      </w:r>
      <w:r w:rsidRPr="00AA20EC" w:rsidR="00AA20EC">
        <w:rPr>
          <w:rFonts w:ascii="Work Sans" w:hAnsi="Work Sans" w:cs="Arial"/>
          <w:i/>
          <w:iCs/>
          <w:sz w:val="24"/>
          <w:szCs w:val="24"/>
        </w:rPr>
        <w:t>”.</w:t>
      </w:r>
    </w:p>
    <w:p w:rsidRPr="00957AD8" w:rsidR="00FE2338" w:rsidP="007250AE" w:rsidRDefault="00FE2338" w14:paraId="42F169E6" w14:textId="5F32E0DD">
      <w:pPr>
        <w:autoSpaceDE w:val="0"/>
        <w:autoSpaceDN w:val="0"/>
        <w:adjustRightInd w:val="0"/>
        <w:spacing w:after="0"/>
        <w:jc w:val="both"/>
        <w:rPr>
          <w:rFonts w:ascii="Work Sans" w:hAnsi="Work Sans" w:eastAsia="Times New Roman" w:cs="Arial"/>
          <w:sz w:val="24"/>
          <w:szCs w:val="24"/>
        </w:rPr>
      </w:pPr>
    </w:p>
    <w:p w:rsidRPr="00957AD8" w:rsidR="00FE2338" w:rsidP="007250AE" w:rsidRDefault="63AEC14D" w14:paraId="42787F2A" w14:textId="77CB4938">
      <w:pPr>
        <w:autoSpaceDE w:val="0"/>
        <w:autoSpaceDN w:val="0"/>
        <w:adjustRightInd w:val="0"/>
        <w:spacing w:after="0"/>
        <w:jc w:val="both"/>
        <w:rPr>
          <w:rFonts w:ascii="Work Sans" w:hAnsi="Work Sans" w:eastAsia="Times New Roman" w:cs="Times New Roman"/>
          <w:sz w:val="24"/>
          <w:szCs w:val="24"/>
          <w:lang w:val="es-ES" w:eastAsia="es-ES"/>
        </w:rPr>
      </w:pPr>
      <w:r w:rsidRPr="100F86B7">
        <w:rPr>
          <w:rFonts w:ascii="Work Sans" w:hAnsi="Work Sans" w:eastAsia="Times New Roman" w:cs="Arial"/>
          <w:sz w:val="24"/>
          <w:szCs w:val="24"/>
        </w:rPr>
        <w:t>Cordialmente</w:t>
      </w:r>
      <w:r w:rsidRPr="100F86B7" w:rsidR="34AFDD80">
        <w:rPr>
          <w:rFonts w:ascii="Work Sans" w:hAnsi="Work Sans" w:eastAsia="Times New Roman" w:cs="Arial"/>
          <w:sz w:val="24"/>
          <w:szCs w:val="24"/>
        </w:rPr>
        <w:t>,</w:t>
      </w:r>
      <w:r w:rsidRPr="100F86B7" w:rsidR="34AFDD80">
        <w:rPr>
          <w:rFonts w:ascii="Work Sans" w:hAnsi="Work Sans" w:eastAsia="Times New Roman" w:cs="Times New Roman"/>
          <w:sz w:val="24"/>
          <w:szCs w:val="24"/>
          <w:lang w:val="es-ES" w:eastAsia="es-ES"/>
        </w:rPr>
        <w:t xml:space="preserve">  </w:t>
      </w:r>
    </w:p>
    <w:p w:rsidR="12036FF2" w:rsidP="007250AE" w:rsidRDefault="12036FF2" w14:paraId="2C560B5F" w14:textId="1593FBCC">
      <w:pPr>
        <w:spacing w:after="0"/>
        <w:jc w:val="both"/>
        <w:rPr>
          <w:rFonts w:ascii="Work Sans" w:hAnsi="Work Sans" w:eastAsia="Times New Roman" w:cs="Times New Roman"/>
          <w:sz w:val="24"/>
          <w:szCs w:val="24"/>
          <w:lang w:val="es-ES" w:eastAsia="es-ES"/>
        </w:rPr>
      </w:pPr>
    </w:p>
    <w:p w:rsidR="12036FF2" w:rsidP="007250AE" w:rsidRDefault="12036FF2" w14:paraId="1ADBFBA7" w14:textId="10E37F07">
      <w:pPr>
        <w:spacing w:after="0"/>
        <w:jc w:val="both"/>
        <w:rPr>
          <w:rFonts w:ascii="Work Sans" w:hAnsi="Work Sans" w:eastAsia="Times New Roman" w:cs="Times New Roman"/>
          <w:sz w:val="24"/>
          <w:szCs w:val="24"/>
          <w:lang w:val="es-ES" w:eastAsia="es-ES"/>
        </w:rPr>
      </w:pPr>
    </w:p>
    <w:p w:rsidRPr="00A849D0" w:rsidR="008228B5" w:rsidP="007250AE" w:rsidRDefault="008228B5" w14:paraId="4E376C13" w14:textId="7C558CD0">
      <w:pPr>
        <w:autoSpaceDE w:val="0"/>
        <w:autoSpaceDN w:val="0"/>
        <w:adjustRightInd w:val="0"/>
        <w:spacing w:after="0"/>
        <w:jc w:val="both"/>
        <w:rPr>
          <w:rFonts w:ascii="Work Sans" w:hAnsi="Work Sans" w:eastAsia="Times New Roman" w:cs="Times New Roman"/>
          <w:lang w:val="es-ES" w:eastAsia="es-ES"/>
        </w:rPr>
      </w:pPr>
    </w:p>
    <w:p w:rsidR="53B380E3" w:rsidP="558BA578" w:rsidRDefault="1EDBBB8E" w14:paraId="11902EAB" w14:textId="24BC4903">
      <w:pPr>
        <w:keepNext/>
        <w:spacing w:after="0"/>
        <w:jc w:val="center"/>
        <w:outlineLvl w:val="2"/>
        <w:rPr>
          <w:rFonts w:ascii="Work Sans" w:hAnsi="Work Sans" w:eastAsia="Times New Roman" w:cs="Times New Roman"/>
          <w:b/>
          <w:bCs/>
          <w:lang w:val="es-ES" w:eastAsia="es-ES"/>
        </w:rPr>
      </w:pPr>
      <w:r w:rsidRPr="718D9970">
        <w:rPr>
          <w:rFonts w:ascii="Work Sans" w:hAnsi="Work Sans" w:eastAsia="Times New Roman" w:cs="Times New Roman"/>
          <w:b/>
          <w:bCs/>
          <w:lang w:val="es-ES" w:eastAsia="es-ES"/>
        </w:rPr>
        <w:t xml:space="preserve"> </w:t>
      </w:r>
      <w:r w:rsidR="00A86929">
        <w:rPr>
          <w:rFonts w:ascii="Work Sans" w:hAnsi="Work Sans" w:eastAsia="Times New Roman" w:cs="Times New Roman"/>
          <w:b/>
          <w:bCs/>
          <w:lang w:val="es-ES" w:eastAsia="es-ES"/>
        </w:rPr>
        <w:t>VÍCTOR JOSÉ PATERNINA NOVOA</w:t>
      </w:r>
      <w:r w:rsidRPr="718D9970">
        <w:rPr>
          <w:rFonts w:ascii="Work Sans" w:hAnsi="Work Sans" w:eastAsia="Times New Roman" w:cs="Times New Roman"/>
          <w:b/>
          <w:bCs/>
          <w:lang w:val="es-ES" w:eastAsia="es-ES"/>
        </w:rPr>
        <w:t xml:space="preserve">  </w:t>
      </w:r>
    </w:p>
    <w:p w:rsidRPr="00A849D0" w:rsidR="00D01690" w:rsidP="007250AE" w:rsidRDefault="00A86929" w14:paraId="055C2403" w14:textId="6BFF82D9">
      <w:pPr>
        <w:keepNext/>
        <w:spacing w:after="0"/>
        <w:jc w:val="center"/>
        <w:outlineLvl w:val="2"/>
        <w:rPr>
          <w:rFonts w:ascii="Work Sans" w:hAnsi="Work Sans" w:eastAsia="Times New Roman" w:cs="Times New Roman"/>
          <w:color w:val="FFFFFF" w:themeColor="background1"/>
          <w:lang w:val="es-ES" w:eastAsia="es-ES"/>
        </w:rPr>
      </w:pPr>
      <w:r>
        <w:rPr>
          <w:rFonts w:ascii="Work Sans" w:hAnsi="Work Sans" w:eastAsia="Times New Roman" w:cs="Times New Roman"/>
          <w:lang w:val="es-ES" w:eastAsia="es-ES"/>
        </w:rPr>
        <w:t>VICEMINISTRO DE ENERGÍA</w:t>
      </w:r>
    </w:p>
    <w:p w:rsidR="100F86B7" w:rsidP="007250AE" w:rsidRDefault="100F86B7" w14:paraId="71ABDDB8" w14:textId="3E72816E">
      <w:pPr>
        <w:keepNext/>
        <w:spacing w:after="0"/>
        <w:jc w:val="center"/>
        <w:outlineLvl w:val="2"/>
        <w:rPr>
          <w:rFonts w:ascii="Work Sans" w:hAnsi="Work Sans" w:eastAsia="Times New Roman" w:cs="Times New Roman"/>
          <w:lang w:val="es-ES" w:eastAsia="es-ES"/>
        </w:rPr>
      </w:pPr>
    </w:p>
    <w:tbl>
      <w:tblPr>
        <w:tblpPr w:leftFromText="141" w:rightFromText="141" w:vertAnchor="text" w:horzAnchor="margin" w:tblpY="129"/>
        <w:tblOverlap w:val="never"/>
        <w:tblW w:w="10065" w:type="dxa"/>
        <w:tblLayout w:type="fixed"/>
        <w:tblCellMar>
          <w:left w:w="70" w:type="dxa"/>
          <w:right w:w="70" w:type="dxa"/>
        </w:tblCellMar>
        <w:tblLook w:val="0000" w:firstRow="0" w:lastRow="0" w:firstColumn="0" w:lastColumn="0" w:noHBand="0" w:noVBand="0"/>
      </w:tblPr>
      <w:tblGrid>
        <w:gridCol w:w="10065"/>
      </w:tblGrid>
      <w:tr w:rsidRPr="00A849D0" w:rsidR="00D01690" w:rsidTr="12AE42D8" w14:paraId="63AEC337" w14:textId="77777777">
        <w:trPr>
          <w:trHeight w:val="851"/>
        </w:trPr>
        <w:tc>
          <w:tcPr>
            <w:tcW w:w="10065" w:type="dxa"/>
            <w:tcMar/>
          </w:tcPr>
          <w:p w:rsidRPr="0092355B" w:rsidR="0092355B" w:rsidP="60619C81" w:rsidRDefault="4A122501" w14:paraId="5E4A4584" w14:textId="207C20D4">
            <w:pPr>
              <w:pStyle w:val="NoSpacing"/>
              <w:spacing w:line="276" w:lineRule="auto"/>
              <w:rPr>
                <w:rFonts w:ascii="Work Sans" w:hAnsi="Work Sans" w:eastAsia="Work Sans" w:cs="Work Sans"/>
                <w:sz w:val="16"/>
                <w:szCs w:val="16"/>
              </w:rPr>
            </w:pPr>
            <w:r w:rsidRPr="12AE42D8" w:rsidR="3AF6058E">
              <w:rPr>
                <w:rFonts w:ascii="Work Sans" w:hAnsi="Work Sans" w:eastAsia="Work Sans" w:cs="Work Sans"/>
                <w:sz w:val="16"/>
                <w:szCs w:val="16"/>
              </w:rPr>
              <w:t xml:space="preserve">Elaboró: </w:t>
            </w:r>
            <w:r w:rsidRPr="12AE42D8" w:rsidR="29A3546C">
              <w:rPr>
                <w:rFonts w:ascii="Work Sans" w:hAnsi="Work Sans" w:eastAsia="Times New Roman" w:cs="Segoe UI"/>
                <w:sz w:val="16"/>
                <w:szCs w:val="16"/>
                <w:lang w:eastAsia="es-CO"/>
              </w:rPr>
              <w:t xml:space="preserve"> </w:t>
            </w:r>
            <w:r w:rsidRPr="12AE42D8" w:rsidR="29A3546C">
              <w:rPr>
                <w:rFonts w:ascii="Work Sans" w:hAnsi="Work Sans" w:eastAsia="Work Sans" w:cs="Work Sans"/>
                <w:sz w:val="16"/>
                <w:szCs w:val="16"/>
              </w:rPr>
              <w:t>Farid Tovar-Profesional Dirección de Energía Eléctrica. </w:t>
            </w:r>
          </w:p>
          <w:p w:rsidR="3FA48817" w:rsidP="12AE42D8" w:rsidRDefault="3FA48817" w14:paraId="2728582E" w14:textId="23EF1160">
            <w:pPr>
              <w:pStyle w:val="NoSpacing"/>
              <w:spacing w:line="276" w:lineRule="auto"/>
              <w:ind w:left="708"/>
              <w:rPr>
                <w:rFonts w:ascii="Work Sans" w:hAnsi="Work Sans" w:eastAsia="Work Sans" w:cs="Work Sans"/>
                <w:sz w:val="16"/>
                <w:szCs w:val="16"/>
              </w:rPr>
            </w:pPr>
            <w:r w:rsidRPr="12AE42D8" w:rsidR="3FA48817">
              <w:rPr>
                <w:rFonts w:ascii="Work Sans" w:hAnsi="Work Sans" w:eastAsia="Work Sans" w:cs="Work Sans"/>
                <w:sz w:val="16"/>
                <w:szCs w:val="16"/>
              </w:rPr>
              <w:t xml:space="preserve"> Camilo Alberto Castro Giraldo-Profesional Dirección de Energía Eléctrica.</w:t>
            </w:r>
          </w:p>
          <w:p w:rsidR="00AF2D44" w:rsidP="007250AE" w:rsidRDefault="00AF2D44" w14:paraId="6D7F8761" w14:textId="6259B171">
            <w:pPr>
              <w:pStyle w:val="NoSpacing"/>
              <w:spacing w:line="276" w:lineRule="auto"/>
              <w:rPr>
                <w:rFonts w:ascii="Work Sans" w:hAnsi="Work Sans" w:eastAsia="Work Sans" w:cs="Work Sans"/>
                <w:sz w:val="16"/>
                <w:szCs w:val="16"/>
              </w:rPr>
            </w:pPr>
          </w:p>
          <w:p w:rsidRPr="00A849D0" w:rsidR="00D01690" w:rsidP="007250AE" w:rsidRDefault="4A122501" w14:paraId="54156159" w14:textId="7CBA9A35">
            <w:pPr>
              <w:pStyle w:val="NoSpacing"/>
              <w:spacing w:line="276" w:lineRule="auto"/>
              <w:rPr>
                <w:rFonts w:ascii="Work Sans" w:hAnsi="Work Sans" w:eastAsia="Work Sans" w:cs="Work Sans"/>
                <w:sz w:val="16"/>
                <w:szCs w:val="16"/>
              </w:rPr>
            </w:pPr>
            <w:r w:rsidRPr="100F86B7">
              <w:rPr>
                <w:rFonts w:ascii="Work Sans" w:hAnsi="Work Sans" w:eastAsia="Work Sans" w:cs="Work Sans"/>
                <w:sz w:val="16"/>
                <w:szCs w:val="16"/>
              </w:rPr>
              <w:t xml:space="preserve">Revisó: </w:t>
            </w:r>
            <w:r w:rsidR="00D01690">
              <w:tab/>
            </w:r>
            <w:r w:rsidRPr="100F86B7">
              <w:rPr>
                <w:rFonts w:ascii="Work Sans" w:hAnsi="Work Sans" w:eastAsia="Work Sans" w:cs="Work Sans"/>
                <w:sz w:val="16"/>
                <w:szCs w:val="16"/>
              </w:rPr>
              <w:t>Martha Barreto</w:t>
            </w:r>
            <w:r w:rsidR="00CD5574">
              <w:rPr>
                <w:rFonts w:ascii="Work Sans" w:hAnsi="Work Sans" w:eastAsia="Work Sans" w:cs="Work Sans"/>
                <w:sz w:val="16"/>
                <w:szCs w:val="16"/>
              </w:rPr>
              <w:t xml:space="preserve"> </w:t>
            </w:r>
            <w:r w:rsidRPr="100F86B7">
              <w:rPr>
                <w:rFonts w:ascii="Work Sans" w:hAnsi="Work Sans" w:eastAsia="Work Sans" w:cs="Work Sans"/>
                <w:sz w:val="16"/>
                <w:szCs w:val="16"/>
              </w:rPr>
              <w:t>-</w:t>
            </w:r>
            <w:r w:rsidR="00CD5574">
              <w:rPr>
                <w:rFonts w:ascii="Work Sans" w:hAnsi="Work Sans" w:eastAsia="Work Sans" w:cs="Work Sans"/>
                <w:sz w:val="16"/>
                <w:szCs w:val="16"/>
              </w:rPr>
              <w:t xml:space="preserve"> </w:t>
            </w:r>
            <w:r w:rsidRPr="100F86B7">
              <w:rPr>
                <w:rFonts w:ascii="Work Sans" w:hAnsi="Work Sans" w:eastAsia="Work Sans" w:cs="Work Sans"/>
                <w:sz w:val="16"/>
                <w:szCs w:val="16"/>
              </w:rPr>
              <w:t>Coordinadora Grupo de Fondos y Gestión del Sector</w:t>
            </w:r>
          </w:p>
          <w:p w:rsidR="00D01690" w:rsidP="007250AE" w:rsidRDefault="4A122501" w14:paraId="09B3167E" w14:textId="1785C217">
            <w:pPr>
              <w:pStyle w:val="NoSpacing"/>
              <w:spacing w:line="276" w:lineRule="auto"/>
              <w:rPr>
                <w:rFonts w:ascii="Work Sans" w:hAnsi="Work Sans" w:eastAsia="Work Sans" w:cs="Work Sans"/>
                <w:sz w:val="16"/>
                <w:szCs w:val="16"/>
              </w:rPr>
            </w:pPr>
            <w:r w:rsidRPr="718D9970">
              <w:rPr>
                <w:rFonts w:ascii="Work Sans" w:hAnsi="Work Sans" w:eastAsia="Work Sans" w:cs="Work Sans"/>
                <w:sz w:val="16"/>
                <w:szCs w:val="16"/>
              </w:rPr>
              <w:t xml:space="preserve">             </w:t>
            </w:r>
            <w:r w:rsidRPr="718D9970" w:rsidR="6635E7E2">
              <w:rPr>
                <w:rFonts w:ascii="Work Sans" w:hAnsi="Work Sans" w:eastAsia="Work Sans" w:cs="Work Sans"/>
                <w:sz w:val="16"/>
                <w:szCs w:val="16"/>
              </w:rPr>
              <w:t>Juan Camilo Sánchez</w:t>
            </w:r>
            <w:r w:rsidRPr="718D9970" w:rsidR="00CD5574">
              <w:rPr>
                <w:rFonts w:ascii="Work Sans" w:hAnsi="Work Sans" w:eastAsia="Work Sans" w:cs="Work Sans"/>
                <w:sz w:val="16"/>
                <w:szCs w:val="16"/>
              </w:rPr>
              <w:t xml:space="preserve"> </w:t>
            </w:r>
            <w:r w:rsidRPr="718D9970">
              <w:rPr>
                <w:rFonts w:ascii="Work Sans" w:hAnsi="Work Sans" w:eastAsia="Work Sans" w:cs="Work Sans"/>
                <w:sz w:val="16"/>
                <w:szCs w:val="16"/>
              </w:rPr>
              <w:t>-</w:t>
            </w:r>
            <w:r w:rsidRPr="718D9970" w:rsidR="57802C6C">
              <w:rPr>
                <w:rFonts w:ascii="Work Sans" w:hAnsi="Work Sans" w:eastAsia="Work Sans" w:cs="Work Sans"/>
                <w:sz w:val="16"/>
                <w:szCs w:val="16"/>
              </w:rPr>
              <w:t xml:space="preserve"> </w:t>
            </w:r>
            <w:r w:rsidRPr="718D9970">
              <w:rPr>
                <w:rFonts w:ascii="Work Sans" w:hAnsi="Work Sans" w:eastAsia="Work Sans" w:cs="Work Sans"/>
                <w:sz w:val="16"/>
                <w:szCs w:val="16"/>
              </w:rPr>
              <w:t>Profesional Dirección de Energía Eléctrica</w:t>
            </w:r>
          </w:p>
          <w:p w:rsidRPr="004F2250" w:rsidR="002A1335" w:rsidP="718D9970" w:rsidRDefault="00E004DB" w14:paraId="0AC5DCA8" w14:textId="2EE5EBD3">
            <w:pPr>
              <w:pStyle w:val="NoSpacing"/>
              <w:spacing w:line="276" w:lineRule="auto"/>
              <w:ind w:firstLine="708"/>
              <w:rPr>
                <w:rFonts w:ascii="Work Sans" w:hAnsi="Work Sans" w:eastAsia="Work Sans" w:cs="Work Sans"/>
                <w:sz w:val="16"/>
                <w:szCs w:val="16"/>
              </w:rPr>
            </w:pPr>
            <w:r w:rsidRPr="718D9970">
              <w:rPr>
                <w:rFonts w:ascii="Work Sans" w:hAnsi="Work Sans" w:eastAsia="Work Sans" w:cs="Work Sans"/>
                <w:sz w:val="16"/>
                <w:szCs w:val="16"/>
              </w:rPr>
              <w:t>Héctor</w:t>
            </w:r>
            <w:r w:rsidRPr="718D9970" w:rsidR="00C16E2D">
              <w:rPr>
                <w:rFonts w:ascii="Work Sans" w:hAnsi="Work Sans" w:eastAsia="Work Sans" w:cs="Work Sans"/>
                <w:sz w:val="16"/>
                <w:szCs w:val="16"/>
              </w:rPr>
              <w:t xml:space="preserve"> Arturo </w:t>
            </w:r>
            <w:r w:rsidRPr="718D9970" w:rsidR="00A304A3">
              <w:rPr>
                <w:rFonts w:ascii="Work Sans" w:hAnsi="Work Sans" w:eastAsia="Work Sans" w:cs="Work Sans"/>
                <w:sz w:val="16"/>
                <w:szCs w:val="16"/>
              </w:rPr>
              <w:t xml:space="preserve">Barrera Castellanos </w:t>
            </w:r>
            <w:r w:rsidRPr="718D9970" w:rsidR="001A1C1A">
              <w:rPr>
                <w:rFonts w:ascii="Work Sans" w:hAnsi="Work Sans" w:eastAsia="Work Sans" w:cs="Work Sans"/>
                <w:sz w:val="16"/>
                <w:szCs w:val="16"/>
              </w:rPr>
              <w:t>- Profesional</w:t>
            </w:r>
            <w:r w:rsidRPr="718D9970">
              <w:rPr>
                <w:rFonts w:ascii="Work Sans" w:hAnsi="Work Sans" w:eastAsia="Work Sans" w:cs="Work Sans"/>
                <w:sz w:val="16"/>
                <w:szCs w:val="16"/>
              </w:rPr>
              <w:t xml:space="preserve"> Dirección de Energía Eléctrica</w:t>
            </w:r>
          </w:p>
        </w:tc>
      </w:tr>
      <w:tr w:rsidRPr="00A849D0" w:rsidR="0092355B" w:rsidTr="12AE42D8" w14:paraId="584A4AF2" w14:textId="77777777">
        <w:trPr>
          <w:trHeight w:val="851"/>
        </w:trPr>
        <w:tc>
          <w:tcPr>
            <w:tcW w:w="10065" w:type="dxa"/>
            <w:tcMar/>
          </w:tcPr>
          <w:p w:rsidRPr="625FA01D" w:rsidR="0092355B" w:rsidP="0092355B" w:rsidRDefault="0092355B" w14:paraId="59EF9C41" w14:textId="77777777">
            <w:pPr>
              <w:pStyle w:val="NoSpacing"/>
              <w:rPr>
                <w:rFonts w:ascii="Work Sans" w:hAnsi="Work Sans" w:eastAsia="Work Sans" w:cs="Work Sans"/>
                <w:sz w:val="16"/>
                <w:szCs w:val="16"/>
              </w:rPr>
            </w:pPr>
          </w:p>
        </w:tc>
      </w:tr>
      <w:tr w:rsidRPr="00A849D0" w:rsidR="0092355B" w:rsidTr="12AE42D8" w14:paraId="66BE8124" w14:textId="77777777">
        <w:trPr>
          <w:trHeight w:val="851"/>
        </w:trPr>
        <w:tc>
          <w:tcPr>
            <w:tcW w:w="10065" w:type="dxa"/>
            <w:tcMar/>
          </w:tcPr>
          <w:p w:rsidRPr="625FA01D" w:rsidR="0092355B" w:rsidP="0092355B" w:rsidRDefault="0092355B" w14:paraId="26FD8405" w14:textId="77777777">
            <w:pPr>
              <w:pStyle w:val="NoSpacing"/>
              <w:rPr>
                <w:rFonts w:ascii="Work Sans" w:hAnsi="Work Sans" w:eastAsia="Work Sans" w:cs="Work Sans"/>
                <w:sz w:val="16"/>
                <w:szCs w:val="16"/>
              </w:rPr>
            </w:pPr>
          </w:p>
        </w:tc>
      </w:tr>
      <w:tr w:rsidRPr="00A849D0" w:rsidR="002A1335" w:rsidTr="12AE42D8" w14:paraId="337AD1AD" w14:textId="77777777">
        <w:trPr>
          <w:trHeight w:val="851"/>
        </w:trPr>
        <w:tc>
          <w:tcPr>
            <w:tcW w:w="10065" w:type="dxa"/>
            <w:tcMar/>
          </w:tcPr>
          <w:p w:rsidRPr="625FA01D" w:rsidR="002A1335" w:rsidP="0092355B" w:rsidRDefault="002A1335" w14:paraId="6531684A" w14:textId="77777777">
            <w:pPr>
              <w:pStyle w:val="NoSpacing"/>
              <w:rPr>
                <w:rFonts w:ascii="Work Sans" w:hAnsi="Work Sans" w:eastAsia="Work Sans" w:cs="Work Sans"/>
                <w:sz w:val="16"/>
                <w:szCs w:val="16"/>
              </w:rPr>
            </w:pPr>
          </w:p>
        </w:tc>
      </w:tr>
    </w:tbl>
    <w:p w:rsidRPr="00BC72BE" w:rsidR="002A731F" w:rsidP="007250AE" w:rsidRDefault="002A731F" w14:paraId="2DA37BC1" w14:textId="2290AF85">
      <w:pPr>
        <w:autoSpaceDE w:val="0"/>
        <w:autoSpaceDN w:val="0"/>
        <w:adjustRightInd w:val="0"/>
        <w:spacing w:after="0"/>
        <w:jc w:val="both"/>
        <w:rPr>
          <w:rFonts w:ascii="Work Sans" w:hAnsi="Work Sans" w:eastAsia="Times New Roman" w:cs="Times New Roman"/>
          <w:lang w:val="es-ES" w:eastAsia="es-ES"/>
        </w:rPr>
      </w:pPr>
    </w:p>
    <w:sectPr w:rsidRPr="00BC72BE" w:rsidR="002A731F" w:rsidSect="008E56A9">
      <w:headerReference w:type="default" r:id="rId10"/>
      <w:footerReference w:type="default" r:id="rId11"/>
      <w:pgSz w:w="12240" w:h="15840" w:orient="portrait"/>
      <w:pgMar w:top="1701" w:right="1701" w:bottom="1701" w:left="1701" w:header="1559" w:footer="1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636B" w:rsidP="00CD6908" w:rsidRDefault="0025636B" w14:paraId="3E26F106" w14:textId="77777777">
      <w:pPr>
        <w:spacing w:after="0" w:line="240" w:lineRule="auto"/>
      </w:pPr>
      <w:r>
        <w:separator/>
      </w:r>
    </w:p>
  </w:endnote>
  <w:endnote w:type="continuationSeparator" w:id="0">
    <w:p w:rsidR="0025636B" w:rsidP="00CD6908" w:rsidRDefault="0025636B" w14:paraId="56207E12" w14:textId="77777777">
      <w:pPr>
        <w:spacing w:after="0" w:line="240" w:lineRule="auto"/>
      </w:pPr>
      <w:r>
        <w:continuationSeparator/>
      </w:r>
    </w:p>
  </w:endnote>
  <w:endnote w:type="continuationNotice" w:id="1">
    <w:p w:rsidR="0025636B" w:rsidRDefault="0025636B" w14:paraId="60FA77E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altName w:val="Work Sans"/>
    <w:charset w:val="00"/>
    <w:family w:val="auto"/>
    <w:pitch w:val="variable"/>
    <w:sig w:usb0="A00000FF" w:usb1="5000E07B" w:usb2="00000000" w:usb3="00000000" w:csb0="0000019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82298B" w:rsidR="00885919" w:rsidP="006437B2" w:rsidRDefault="00885919" w14:paraId="22419E69" w14:textId="52F7DC2F">
    <w:pPr>
      <w:jc w:val="right"/>
      <w:rPr>
        <w:rFonts w:ascii="Work Sans" w:hAnsi="Work Sans" w:cs="Arial"/>
        <w:sz w:val="20"/>
        <w:szCs w:val="20"/>
      </w:rPr>
    </w:pPr>
    <w:r>
      <w:rPr>
        <w:noProof/>
        <w:sz w:val="20"/>
        <w:szCs w:val="20"/>
        <w:lang w:eastAsia="es-CO"/>
      </w:rPr>
      <w:drawing>
        <wp:anchor distT="0" distB="0" distL="114300" distR="114300" simplePos="0" relativeHeight="251658242" behindDoc="0" locked="0" layoutInCell="1" allowOverlap="1" wp14:anchorId="03C10D32" wp14:editId="2023D67D">
          <wp:simplePos x="0" y="0"/>
          <wp:positionH relativeFrom="page">
            <wp:posOffset>0</wp:posOffset>
          </wp:positionH>
          <wp:positionV relativeFrom="paragraph">
            <wp:posOffset>185724</wp:posOffset>
          </wp:positionV>
          <wp:extent cx="7751445" cy="934085"/>
          <wp:effectExtent l="0" t="0" r="1905" b="0"/>
          <wp:wrapNone/>
          <wp:docPr id="6" name="Imagen 6">
            <a:extLst xmlns:a="http://schemas.openxmlformats.org/drawingml/2006/main">
              <a:ext uri="{FF2B5EF4-FFF2-40B4-BE49-F238E27FC236}">
                <a16:creationId xmlns:a16="http://schemas.microsoft.com/office/drawing/2014/main" id="{6C86371B-57DA-4E15-8D15-AFDB98321E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Minenergía.png"/>
                  <pic:cNvPicPr/>
                </pic:nvPicPr>
                <pic:blipFill>
                  <a:blip r:embed="rId1">
                    <a:extLst>
                      <a:ext uri="{28A0092B-C50C-407E-A947-70E740481C1C}">
                        <a14:useLocalDpi xmlns:a14="http://schemas.microsoft.com/office/drawing/2010/main" val="0"/>
                      </a:ext>
                    </a:extLst>
                  </a:blip>
                  <a:stretch>
                    <a:fillRect/>
                  </a:stretch>
                </pic:blipFill>
                <pic:spPr>
                  <a:xfrm>
                    <a:off x="0" y="0"/>
                    <a:ext cx="7751445" cy="934085"/>
                  </a:xfrm>
                  <a:prstGeom prst="rect">
                    <a:avLst/>
                  </a:prstGeom>
                </pic:spPr>
              </pic:pic>
            </a:graphicData>
          </a:graphic>
          <wp14:sizeRelH relativeFrom="page">
            <wp14:pctWidth>0</wp14:pctWidth>
          </wp14:sizeRelH>
          <wp14:sizeRelV relativeFrom="page">
            <wp14:pctHeight>0</wp14:pctHeight>
          </wp14:sizeRelV>
        </wp:anchor>
      </w:drawing>
    </w:r>
    <w:r w:rsidR="000E10F0">
      <w:rPr>
        <w:noProof/>
        <w:sz w:val="20"/>
        <w:szCs w:val="20"/>
        <w:lang w:eastAsia="es-CO"/>
      </w:rPr>
      <w:drawing>
        <wp:anchor distT="0" distB="0" distL="114300" distR="114300" simplePos="0" relativeHeight="251658240" behindDoc="0" locked="0" layoutInCell="1" allowOverlap="1" wp14:anchorId="509BBFD3" wp14:editId="7DAA6A82">
          <wp:simplePos x="0" y="0"/>
          <wp:positionH relativeFrom="page">
            <wp:posOffset>0</wp:posOffset>
          </wp:positionH>
          <wp:positionV relativeFrom="paragraph">
            <wp:posOffset>185724</wp:posOffset>
          </wp:positionV>
          <wp:extent cx="7751445" cy="934085"/>
          <wp:effectExtent l="0" t="0" r="1905" b="0"/>
          <wp:wrapNone/>
          <wp:docPr id="638677354" name="Imagen 638677354">
            <a:extLst xmlns:a="http://schemas.openxmlformats.org/drawingml/2006/main">
              <a:ext uri="{FF2B5EF4-FFF2-40B4-BE49-F238E27FC236}">
                <a16:creationId xmlns:a16="http://schemas.microsoft.com/office/drawing/2014/main" id="{0EF5E4C8-C497-4411-A223-251D20D499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Minenergía.png"/>
                  <pic:cNvPicPr/>
                </pic:nvPicPr>
                <pic:blipFill>
                  <a:blip r:embed="rId1">
                    <a:extLst>
                      <a:ext uri="{28A0092B-C50C-407E-A947-70E740481C1C}">
                        <a14:useLocalDpi xmlns:a14="http://schemas.microsoft.com/office/drawing/2010/main" val="0"/>
                      </a:ext>
                    </a:extLst>
                  </a:blip>
                  <a:stretch>
                    <a:fillRect/>
                  </a:stretch>
                </pic:blipFill>
                <pic:spPr>
                  <a:xfrm>
                    <a:off x="0" y="0"/>
                    <a:ext cx="7751445" cy="934085"/>
                  </a:xfrm>
                  <a:prstGeom prst="rect">
                    <a:avLst/>
                  </a:prstGeom>
                </pic:spPr>
              </pic:pic>
            </a:graphicData>
          </a:graphic>
          <wp14:sizeRelH relativeFrom="page">
            <wp14:pctWidth>0</wp14:pctWidth>
          </wp14:sizeRelH>
          <wp14:sizeRelV relativeFrom="page">
            <wp14:pctHeight>0</wp14:pctHeight>
          </wp14:sizeRelV>
        </wp:anchor>
      </w:drawing>
    </w:r>
    <w:r w:rsidRPr="0082298B">
      <w:rPr>
        <w:rFonts w:ascii="Work Sans" w:hAnsi="Work Sans" w:cs="Arial"/>
        <w:sz w:val="20"/>
        <w:szCs w:val="20"/>
      </w:rPr>
      <w:t xml:space="preserve">Página </w:t>
    </w:r>
    <w:r w:rsidRPr="0082298B">
      <w:rPr>
        <w:rFonts w:ascii="Work Sans" w:hAnsi="Work Sans" w:cs="Arial"/>
        <w:sz w:val="20"/>
        <w:szCs w:val="20"/>
      </w:rPr>
      <w:fldChar w:fldCharType="begin"/>
    </w:r>
    <w:r w:rsidRPr="0082298B">
      <w:rPr>
        <w:rFonts w:ascii="Work Sans" w:hAnsi="Work Sans" w:cs="Arial"/>
        <w:sz w:val="20"/>
        <w:szCs w:val="20"/>
      </w:rPr>
      <w:instrText xml:space="preserve"> PAGE  \* Arabic  \* MERGEFORMAT </w:instrText>
    </w:r>
    <w:r w:rsidRPr="0082298B">
      <w:rPr>
        <w:rFonts w:ascii="Work Sans" w:hAnsi="Work Sans" w:cs="Arial"/>
        <w:sz w:val="20"/>
        <w:szCs w:val="20"/>
      </w:rPr>
      <w:fldChar w:fldCharType="separate"/>
    </w:r>
    <w:r>
      <w:rPr>
        <w:rFonts w:ascii="Work Sans" w:hAnsi="Work Sans" w:cs="Arial"/>
        <w:noProof/>
        <w:sz w:val="20"/>
        <w:szCs w:val="20"/>
      </w:rPr>
      <w:t>3</w:t>
    </w:r>
    <w:r w:rsidRPr="0082298B">
      <w:rPr>
        <w:rFonts w:ascii="Work Sans" w:hAnsi="Work Sans" w:cs="Arial"/>
        <w:sz w:val="20"/>
        <w:szCs w:val="20"/>
      </w:rPr>
      <w:fldChar w:fldCharType="end"/>
    </w:r>
    <w:r w:rsidRPr="0082298B">
      <w:rPr>
        <w:rFonts w:ascii="Work Sans" w:hAnsi="Work Sans" w:cs="Arial"/>
        <w:sz w:val="20"/>
        <w:szCs w:val="20"/>
      </w:rPr>
      <w:t xml:space="preserve"> de </w:t>
    </w:r>
    <w:r w:rsidRPr="0082298B">
      <w:rPr>
        <w:rFonts w:ascii="Work Sans" w:hAnsi="Work Sans" w:cs="Arial"/>
        <w:sz w:val="20"/>
        <w:szCs w:val="20"/>
      </w:rPr>
      <w:fldChar w:fldCharType="begin"/>
    </w:r>
    <w:r w:rsidRPr="0082298B">
      <w:rPr>
        <w:rFonts w:ascii="Work Sans" w:hAnsi="Work Sans" w:cs="Arial"/>
        <w:sz w:val="20"/>
        <w:szCs w:val="20"/>
      </w:rPr>
      <w:instrText xml:space="preserve"> NUMPAGES  \* Arabic  \* MERGEFORMAT </w:instrText>
    </w:r>
    <w:r w:rsidRPr="0082298B">
      <w:rPr>
        <w:rFonts w:ascii="Work Sans" w:hAnsi="Work Sans" w:cs="Arial"/>
        <w:sz w:val="20"/>
        <w:szCs w:val="20"/>
      </w:rPr>
      <w:fldChar w:fldCharType="separate"/>
    </w:r>
    <w:r>
      <w:rPr>
        <w:rFonts w:ascii="Work Sans" w:hAnsi="Work Sans" w:cs="Arial"/>
        <w:noProof/>
        <w:sz w:val="20"/>
        <w:szCs w:val="20"/>
      </w:rPr>
      <w:t>3</w:t>
    </w:r>
    <w:r w:rsidRPr="0082298B">
      <w:rPr>
        <w:rFonts w:ascii="Work Sans" w:hAnsi="Work Sans" w:cs="Arial"/>
        <w:sz w:val="20"/>
        <w:szCs w:val="20"/>
      </w:rPr>
      <w:fldChar w:fldCharType="end"/>
    </w:r>
  </w:p>
  <w:p w:rsidR="00885919" w:rsidP="006A1018" w:rsidRDefault="00885919" w14:paraId="4A66E607" w14:textId="3673450F">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636B" w:rsidP="00CD6908" w:rsidRDefault="0025636B" w14:paraId="4CD66796" w14:textId="77777777">
      <w:pPr>
        <w:spacing w:after="0" w:line="240" w:lineRule="auto"/>
      </w:pPr>
      <w:r>
        <w:separator/>
      </w:r>
    </w:p>
  </w:footnote>
  <w:footnote w:type="continuationSeparator" w:id="0">
    <w:p w:rsidR="0025636B" w:rsidP="00CD6908" w:rsidRDefault="0025636B" w14:paraId="2DB4A6F3" w14:textId="77777777">
      <w:pPr>
        <w:spacing w:after="0" w:line="240" w:lineRule="auto"/>
      </w:pPr>
      <w:r>
        <w:continuationSeparator/>
      </w:r>
    </w:p>
  </w:footnote>
  <w:footnote w:type="continuationNotice" w:id="1">
    <w:p w:rsidR="0025636B" w:rsidRDefault="0025636B" w14:paraId="62BC10E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966328" w:rsidR="00885919" w:rsidP="00C80513" w:rsidRDefault="00885919" w14:paraId="4CF75404" w14:textId="35C49E40">
    <w:pPr>
      <w:ind w:left="-709"/>
      <w:jc w:val="center"/>
    </w:pPr>
    <w:r>
      <w:rPr>
        <w:noProof/>
      </w:rPr>
      <w:drawing>
        <wp:anchor distT="0" distB="0" distL="114300" distR="114300" simplePos="0" relativeHeight="251658243" behindDoc="0" locked="0" layoutInCell="1" allowOverlap="1" wp14:anchorId="5DF853A1" wp14:editId="1AAD41C6">
          <wp:simplePos x="0" y="0"/>
          <wp:positionH relativeFrom="margin">
            <wp:align>center</wp:align>
          </wp:positionH>
          <wp:positionV relativeFrom="paragraph">
            <wp:posOffset>-494665</wp:posOffset>
          </wp:positionV>
          <wp:extent cx="675005" cy="587375"/>
          <wp:effectExtent l="0" t="0" r="0" b="3175"/>
          <wp:wrapSquare wrapText="bothSides"/>
          <wp:docPr id="104038021" name="Imagen 2">
            <a:extLst xmlns:a="http://schemas.openxmlformats.org/drawingml/2006/main">
              <a:ext uri="{FF2B5EF4-FFF2-40B4-BE49-F238E27FC236}">
                <a16:creationId xmlns:a16="http://schemas.microsoft.com/office/drawing/2014/main" id="{CE3A3D10-8592-41D2-95B4-75B46779763C}"/>
              </a:ext>
            </a:extLst>
          </wp:docPr>
          <wp:cNvGraphicFramePr/>
          <a:graphic xmlns:a="http://schemas.openxmlformats.org/drawingml/2006/main">
            <a:graphicData uri="http://schemas.openxmlformats.org/drawingml/2006/picture">
              <pic:pic xmlns:pic="http://schemas.openxmlformats.org/drawingml/2006/picture">
                <pic:nvPicPr>
                  <pic:cNvPr id="104038021" name="Imagen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14:sizeRelH relativeFrom="page">
            <wp14:pctWidth>0</wp14:pctWidth>
          </wp14:sizeRelH>
          <wp14:sizeRelV relativeFrom="page">
            <wp14:pctHeight>0</wp14:pctHeight>
          </wp14:sizeRelV>
        </wp:anchor>
      </w:drawing>
    </w:r>
    <w:r w:rsidR="00EF7BED">
      <w:rPr>
        <w:noProof/>
      </w:rPr>
      <w:drawing>
        <wp:anchor distT="0" distB="0" distL="114300" distR="114300" simplePos="0" relativeHeight="251658241" behindDoc="0" locked="0" layoutInCell="1" allowOverlap="1" wp14:anchorId="5714C713" wp14:editId="7CD847FC">
          <wp:simplePos x="0" y="0"/>
          <wp:positionH relativeFrom="margin">
            <wp:align>center</wp:align>
          </wp:positionH>
          <wp:positionV relativeFrom="paragraph">
            <wp:posOffset>-494665</wp:posOffset>
          </wp:positionV>
          <wp:extent cx="675005" cy="587375"/>
          <wp:effectExtent l="0" t="0" r="0" b="3175"/>
          <wp:wrapSquare wrapText="bothSides"/>
          <wp:docPr id="728923774" name="Imagen 2">
            <a:extLst xmlns:a="http://schemas.openxmlformats.org/drawingml/2006/main">
              <a:ext uri="{FF2B5EF4-FFF2-40B4-BE49-F238E27FC236}">
                <a16:creationId xmlns:a16="http://schemas.microsoft.com/office/drawing/2014/main" id="{34500770-66E2-44B1-B463-9240517D73AB}"/>
              </a:ext>
            </a:extLst>
          </wp:docPr>
          <wp:cNvGraphicFramePr/>
          <a:graphic xmlns:a="http://schemas.openxmlformats.org/drawingml/2006/main">
            <a:graphicData uri="http://schemas.openxmlformats.org/drawingml/2006/picture">
              <pic:pic xmlns:pic="http://schemas.openxmlformats.org/drawingml/2006/picture">
                <pic:nvPicPr>
                  <pic:cNvPr id="104038021" name="Imagen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Bullet2"/>
      <w:lvlText w:val=""/>
      <w:lvlJc w:val="left"/>
      <w:pPr>
        <w:tabs>
          <w:tab w:val="num" w:pos="643"/>
        </w:tabs>
        <w:ind w:left="643" w:hanging="360"/>
      </w:pPr>
      <w:rPr>
        <w:rFonts w:hint="default" w:ascii="Symbol" w:hAnsi="Symbol"/>
      </w:rPr>
    </w:lvl>
  </w:abstractNum>
  <w:abstractNum w:abstractNumId="1" w15:restartNumberingAfterBreak="0">
    <w:nsid w:val="049865A4"/>
    <w:multiLevelType w:val="hybridMultilevel"/>
    <w:tmpl w:val="28CEE594"/>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2" w15:restartNumberingAfterBreak="0">
    <w:nsid w:val="0ACA23D1"/>
    <w:multiLevelType w:val="hybridMultilevel"/>
    <w:tmpl w:val="7C46FF30"/>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3" w15:restartNumberingAfterBreak="0">
    <w:nsid w:val="16777DA5"/>
    <w:multiLevelType w:val="hybridMultilevel"/>
    <w:tmpl w:val="FC5CE34C"/>
    <w:lvl w:ilvl="0" w:tplc="DDFC8FE8">
      <w:start w:val="1"/>
      <w:numFmt w:val="bullet"/>
      <w:lvlText w:val="-"/>
      <w:lvlJc w:val="left"/>
      <w:pPr>
        <w:ind w:left="1068" w:hanging="360"/>
      </w:pPr>
      <w:rPr>
        <w:rFonts w:hint="default" w:ascii="Aptos" w:hAnsi="Aptos"/>
      </w:rPr>
    </w:lvl>
    <w:lvl w:ilvl="1" w:tplc="FFFFFFFF" w:tentative="1">
      <w:start w:val="1"/>
      <w:numFmt w:val="bullet"/>
      <w:lvlText w:val="o"/>
      <w:lvlJc w:val="left"/>
      <w:pPr>
        <w:ind w:left="1788" w:hanging="360"/>
      </w:pPr>
      <w:rPr>
        <w:rFonts w:hint="default" w:ascii="Courier New" w:hAnsi="Courier New" w:cs="Courier New"/>
      </w:rPr>
    </w:lvl>
    <w:lvl w:ilvl="2" w:tplc="FFFFFFFF" w:tentative="1">
      <w:start w:val="1"/>
      <w:numFmt w:val="bullet"/>
      <w:lvlText w:val=""/>
      <w:lvlJc w:val="left"/>
      <w:pPr>
        <w:ind w:left="2508" w:hanging="360"/>
      </w:pPr>
      <w:rPr>
        <w:rFonts w:hint="default" w:ascii="Wingdings" w:hAnsi="Wingdings"/>
      </w:rPr>
    </w:lvl>
    <w:lvl w:ilvl="3" w:tplc="FFFFFFFF" w:tentative="1">
      <w:start w:val="1"/>
      <w:numFmt w:val="bullet"/>
      <w:lvlText w:val=""/>
      <w:lvlJc w:val="left"/>
      <w:pPr>
        <w:ind w:left="3228" w:hanging="360"/>
      </w:pPr>
      <w:rPr>
        <w:rFonts w:hint="default" w:ascii="Symbol" w:hAnsi="Symbol"/>
      </w:rPr>
    </w:lvl>
    <w:lvl w:ilvl="4" w:tplc="FFFFFFFF" w:tentative="1">
      <w:start w:val="1"/>
      <w:numFmt w:val="bullet"/>
      <w:lvlText w:val="o"/>
      <w:lvlJc w:val="left"/>
      <w:pPr>
        <w:ind w:left="3948" w:hanging="360"/>
      </w:pPr>
      <w:rPr>
        <w:rFonts w:hint="default" w:ascii="Courier New" w:hAnsi="Courier New" w:cs="Courier New"/>
      </w:rPr>
    </w:lvl>
    <w:lvl w:ilvl="5" w:tplc="FFFFFFFF" w:tentative="1">
      <w:start w:val="1"/>
      <w:numFmt w:val="bullet"/>
      <w:lvlText w:val=""/>
      <w:lvlJc w:val="left"/>
      <w:pPr>
        <w:ind w:left="4668" w:hanging="360"/>
      </w:pPr>
      <w:rPr>
        <w:rFonts w:hint="default" w:ascii="Wingdings" w:hAnsi="Wingdings"/>
      </w:rPr>
    </w:lvl>
    <w:lvl w:ilvl="6" w:tplc="FFFFFFFF" w:tentative="1">
      <w:start w:val="1"/>
      <w:numFmt w:val="bullet"/>
      <w:lvlText w:val=""/>
      <w:lvlJc w:val="left"/>
      <w:pPr>
        <w:ind w:left="5388" w:hanging="360"/>
      </w:pPr>
      <w:rPr>
        <w:rFonts w:hint="default" w:ascii="Symbol" w:hAnsi="Symbol"/>
      </w:rPr>
    </w:lvl>
    <w:lvl w:ilvl="7" w:tplc="FFFFFFFF" w:tentative="1">
      <w:start w:val="1"/>
      <w:numFmt w:val="bullet"/>
      <w:lvlText w:val="o"/>
      <w:lvlJc w:val="left"/>
      <w:pPr>
        <w:ind w:left="6108" w:hanging="360"/>
      </w:pPr>
      <w:rPr>
        <w:rFonts w:hint="default" w:ascii="Courier New" w:hAnsi="Courier New" w:cs="Courier New"/>
      </w:rPr>
    </w:lvl>
    <w:lvl w:ilvl="8" w:tplc="FFFFFFFF" w:tentative="1">
      <w:start w:val="1"/>
      <w:numFmt w:val="bullet"/>
      <w:lvlText w:val=""/>
      <w:lvlJc w:val="left"/>
      <w:pPr>
        <w:ind w:left="6828" w:hanging="360"/>
      </w:pPr>
      <w:rPr>
        <w:rFonts w:hint="default" w:ascii="Wingdings" w:hAnsi="Wingdings"/>
      </w:rPr>
    </w:lvl>
  </w:abstractNum>
  <w:abstractNum w:abstractNumId="4" w15:restartNumberingAfterBreak="0">
    <w:nsid w:val="21C36C91"/>
    <w:multiLevelType w:val="hybridMultilevel"/>
    <w:tmpl w:val="71682CE2"/>
    <w:lvl w:ilvl="0" w:tplc="DDFC8FE8">
      <w:start w:val="1"/>
      <w:numFmt w:val="bullet"/>
      <w:lvlText w:val="-"/>
      <w:lvlJc w:val="left"/>
      <w:pPr>
        <w:ind w:left="1776" w:hanging="360"/>
      </w:pPr>
      <w:rPr>
        <w:rFonts w:hint="default" w:ascii="Aptos" w:hAnsi="Aptos"/>
      </w:rPr>
    </w:lvl>
    <w:lvl w:ilvl="1" w:tplc="240A0003" w:tentative="1">
      <w:start w:val="1"/>
      <w:numFmt w:val="bullet"/>
      <w:lvlText w:val="o"/>
      <w:lvlJc w:val="left"/>
      <w:pPr>
        <w:ind w:left="2496" w:hanging="360"/>
      </w:pPr>
      <w:rPr>
        <w:rFonts w:hint="default" w:ascii="Courier New" w:hAnsi="Courier New" w:cs="Courier New"/>
      </w:rPr>
    </w:lvl>
    <w:lvl w:ilvl="2" w:tplc="240A0005" w:tentative="1">
      <w:start w:val="1"/>
      <w:numFmt w:val="bullet"/>
      <w:lvlText w:val=""/>
      <w:lvlJc w:val="left"/>
      <w:pPr>
        <w:ind w:left="3216" w:hanging="360"/>
      </w:pPr>
      <w:rPr>
        <w:rFonts w:hint="default" w:ascii="Wingdings" w:hAnsi="Wingdings"/>
      </w:rPr>
    </w:lvl>
    <w:lvl w:ilvl="3" w:tplc="240A0001" w:tentative="1">
      <w:start w:val="1"/>
      <w:numFmt w:val="bullet"/>
      <w:lvlText w:val=""/>
      <w:lvlJc w:val="left"/>
      <w:pPr>
        <w:ind w:left="3936" w:hanging="360"/>
      </w:pPr>
      <w:rPr>
        <w:rFonts w:hint="default" w:ascii="Symbol" w:hAnsi="Symbol"/>
      </w:rPr>
    </w:lvl>
    <w:lvl w:ilvl="4" w:tplc="240A0003" w:tentative="1">
      <w:start w:val="1"/>
      <w:numFmt w:val="bullet"/>
      <w:lvlText w:val="o"/>
      <w:lvlJc w:val="left"/>
      <w:pPr>
        <w:ind w:left="4656" w:hanging="360"/>
      </w:pPr>
      <w:rPr>
        <w:rFonts w:hint="default" w:ascii="Courier New" w:hAnsi="Courier New" w:cs="Courier New"/>
      </w:rPr>
    </w:lvl>
    <w:lvl w:ilvl="5" w:tplc="240A0005" w:tentative="1">
      <w:start w:val="1"/>
      <w:numFmt w:val="bullet"/>
      <w:lvlText w:val=""/>
      <w:lvlJc w:val="left"/>
      <w:pPr>
        <w:ind w:left="5376" w:hanging="360"/>
      </w:pPr>
      <w:rPr>
        <w:rFonts w:hint="default" w:ascii="Wingdings" w:hAnsi="Wingdings"/>
      </w:rPr>
    </w:lvl>
    <w:lvl w:ilvl="6" w:tplc="240A0001" w:tentative="1">
      <w:start w:val="1"/>
      <w:numFmt w:val="bullet"/>
      <w:lvlText w:val=""/>
      <w:lvlJc w:val="left"/>
      <w:pPr>
        <w:ind w:left="6096" w:hanging="360"/>
      </w:pPr>
      <w:rPr>
        <w:rFonts w:hint="default" w:ascii="Symbol" w:hAnsi="Symbol"/>
      </w:rPr>
    </w:lvl>
    <w:lvl w:ilvl="7" w:tplc="240A0003" w:tentative="1">
      <w:start w:val="1"/>
      <w:numFmt w:val="bullet"/>
      <w:lvlText w:val="o"/>
      <w:lvlJc w:val="left"/>
      <w:pPr>
        <w:ind w:left="6816" w:hanging="360"/>
      </w:pPr>
      <w:rPr>
        <w:rFonts w:hint="default" w:ascii="Courier New" w:hAnsi="Courier New" w:cs="Courier New"/>
      </w:rPr>
    </w:lvl>
    <w:lvl w:ilvl="8" w:tplc="240A0005" w:tentative="1">
      <w:start w:val="1"/>
      <w:numFmt w:val="bullet"/>
      <w:lvlText w:val=""/>
      <w:lvlJc w:val="left"/>
      <w:pPr>
        <w:ind w:left="7536" w:hanging="360"/>
      </w:pPr>
      <w:rPr>
        <w:rFonts w:hint="default" w:ascii="Wingdings" w:hAnsi="Wingdings"/>
      </w:rPr>
    </w:lvl>
  </w:abstractNum>
  <w:abstractNum w:abstractNumId="5" w15:restartNumberingAfterBreak="0">
    <w:nsid w:val="32A0708C"/>
    <w:multiLevelType w:val="hybridMultilevel"/>
    <w:tmpl w:val="5B22995E"/>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6" w15:restartNumberingAfterBreak="0">
    <w:nsid w:val="53D26C5C"/>
    <w:multiLevelType w:val="hybridMultilevel"/>
    <w:tmpl w:val="82348004"/>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7" w15:restartNumberingAfterBreak="0">
    <w:nsid w:val="56151A6E"/>
    <w:multiLevelType w:val="hybridMultilevel"/>
    <w:tmpl w:val="59069B14"/>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8" w15:restartNumberingAfterBreak="0">
    <w:nsid w:val="5AA3680D"/>
    <w:multiLevelType w:val="hybridMultilevel"/>
    <w:tmpl w:val="1A3CC144"/>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9" w15:restartNumberingAfterBreak="0">
    <w:nsid w:val="736A7093"/>
    <w:multiLevelType w:val="hybridMultilevel"/>
    <w:tmpl w:val="268639EE"/>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0" w15:restartNumberingAfterBreak="0">
    <w:nsid w:val="73986F50"/>
    <w:multiLevelType w:val="hybridMultilevel"/>
    <w:tmpl w:val="3E98DEDC"/>
    <w:lvl w:ilvl="0" w:tplc="DDFC8FE8">
      <w:start w:val="1"/>
      <w:numFmt w:val="bullet"/>
      <w:lvlText w:val="-"/>
      <w:lvlJc w:val="left"/>
      <w:pPr>
        <w:ind w:left="1428" w:hanging="360"/>
      </w:pPr>
      <w:rPr>
        <w:rFonts w:hint="default" w:ascii="Aptos" w:hAnsi="Apto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num w:numId="1" w16cid:durableId="1036197538">
    <w:abstractNumId w:val="6"/>
  </w:num>
  <w:num w:numId="2" w16cid:durableId="1200321496">
    <w:abstractNumId w:val="1"/>
  </w:num>
  <w:num w:numId="3" w16cid:durableId="1384717076">
    <w:abstractNumId w:val="2"/>
  </w:num>
  <w:num w:numId="4" w16cid:durableId="16128608">
    <w:abstractNumId w:val="3"/>
  </w:num>
  <w:num w:numId="5" w16cid:durableId="1631936376">
    <w:abstractNumId w:val="8"/>
  </w:num>
  <w:num w:numId="6" w16cid:durableId="1667703390">
    <w:abstractNumId w:val="0"/>
  </w:num>
  <w:num w:numId="7" w16cid:durableId="167793929">
    <w:abstractNumId w:val="9"/>
  </w:num>
  <w:num w:numId="8" w16cid:durableId="1745755418">
    <w:abstractNumId w:val="4"/>
  </w:num>
  <w:num w:numId="9" w16cid:durableId="400911064">
    <w:abstractNumId w:val="5"/>
  </w:num>
  <w:num w:numId="10" w16cid:durableId="526990509">
    <w:abstractNumId w:val="10"/>
  </w:num>
  <w:num w:numId="11" w16cid:durableId="67156450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pt-BR"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1AFC"/>
    <w:rsid w:val="00003392"/>
    <w:rsid w:val="00011FAC"/>
    <w:rsid w:val="00012A33"/>
    <w:rsid w:val="000134D7"/>
    <w:rsid w:val="00024F1F"/>
    <w:rsid w:val="000312AA"/>
    <w:rsid w:val="00032A19"/>
    <w:rsid w:val="00036F9A"/>
    <w:rsid w:val="000421A8"/>
    <w:rsid w:val="00043C90"/>
    <w:rsid w:val="000459A8"/>
    <w:rsid w:val="000541E3"/>
    <w:rsid w:val="000559C4"/>
    <w:rsid w:val="000570E9"/>
    <w:rsid w:val="000574DF"/>
    <w:rsid w:val="000612BF"/>
    <w:rsid w:val="0006264F"/>
    <w:rsid w:val="00063FF2"/>
    <w:rsid w:val="000645F0"/>
    <w:rsid w:val="000671D3"/>
    <w:rsid w:val="00080378"/>
    <w:rsid w:val="000828FA"/>
    <w:rsid w:val="00082BA5"/>
    <w:rsid w:val="00083D9D"/>
    <w:rsid w:val="000840AE"/>
    <w:rsid w:val="00096006"/>
    <w:rsid w:val="000A033E"/>
    <w:rsid w:val="000A2DAC"/>
    <w:rsid w:val="000B179D"/>
    <w:rsid w:val="000B2806"/>
    <w:rsid w:val="000B2DB4"/>
    <w:rsid w:val="000B3201"/>
    <w:rsid w:val="000B4806"/>
    <w:rsid w:val="000B54C0"/>
    <w:rsid w:val="000B7235"/>
    <w:rsid w:val="000C0378"/>
    <w:rsid w:val="000C2456"/>
    <w:rsid w:val="000D2C19"/>
    <w:rsid w:val="000D3BA7"/>
    <w:rsid w:val="000D460E"/>
    <w:rsid w:val="000D5955"/>
    <w:rsid w:val="000D620A"/>
    <w:rsid w:val="000D7C49"/>
    <w:rsid w:val="000E0FA8"/>
    <w:rsid w:val="000E10F0"/>
    <w:rsid w:val="000E2179"/>
    <w:rsid w:val="000E3B13"/>
    <w:rsid w:val="000E3DA2"/>
    <w:rsid w:val="000E747D"/>
    <w:rsid w:val="000E7ACC"/>
    <w:rsid w:val="000F3F72"/>
    <w:rsid w:val="000F4B94"/>
    <w:rsid w:val="000F7671"/>
    <w:rsid w:val="00101ACA"/>
    <w:rsid w:val="00103ADE"/>
    <w:rsid w:val="001065C3"/>
    <w:rsid w:val="00106B2D"/>
    <w:rsid w:val="00106D5C"/>
    <w:rsid w:val="00110A55"/>
    <w:rsid w:val="001114AB"/>
    <w:rsid w:val="00114596"/>
    <w:rsid w:val="00117458"/>
    <w:rsid w:val="00117AFF"/>
    <w:rsid w:val="00123C42"/>
    <w:rsid w:val="0013323E"/>
    <w:rsid w:val="001362EF"/>
    <w:rsid w:val="001403AB"/>
    <w:rsid w:val="00142DE9"/>
    <w:rsid w:val="001430A0"/>
    <w:rsid w:val="00143200"/>
    <w:rsid w:val="00143789"/>
    <w:rsid w:val="00144C6C"/>
    <w:rsid w:val="00144D64"/>
    <w:rsid w:val="00157E0F"/>
    <w:rsid w:val="00166477"/>
    <w:rsid w:val="001704E1"/>
    <w:rsid w:val="001722F4"/>
    <w:rsid w:val="00173E50"/>
    <w:rsid w:val="00177FB5"/>
    <w:rsid w:val="00180B25"/>
    <w:rsid w:val="00182941"/>
    <w:rsid w:val="00185FA5"/>
    <w:rsid w:val="00191B4F"/>
    <w:rsid w:val="0019403C"/>
    <w:rsid w:val="00195CDA"/>
    <w:rsid w:val="00196001"/>
    <w:rsid w:val="001A1C1A"/>
    <w:rsid w:val="001A4993"/>
    <w:rsid w:val="001A62AE"/>
    <w:rsid w:val="001B1118"/>
    <w:rsid w:val="001B1268"/>
    <w:rsid w:val="001B3683"/>
    <w:rsid w:val="001C2394"/>
    <w:rsid w:val="001D5C4B"/>
    <w:rsid w:val="001E0546"/>
    <w:rsid w:val="001E3CD2"/>
    <w:rsid w:val="001E6A54"/>
    <w:rsid w:val="001E7913"/>
    <w:rsid w:val="001F00C6"/>
    <w:rsid w:val="001F336F"/>
    <w:rsid w:val="00204978"/>
    <w:rsid w:val="002063E4"/>
    <w:rsid w:val="00212659"/>
    <w:rsid w:val="00213ED3"/>
    <w:rsid w:val="00213F18"/>
    <w:rsid w:val="00216D70"/>
    <w:rsid w:val="00216D8D"/>
    <w:rsid w:val="00217781"/>
    <w:rsid w:val="00220A35"/>
    <w:rsid w:val="00220C61"/>
    <w:rsid w:val="00220EF9"/>
    <w:rsid w:val="00224CBF"/>
    <w:rsid w:val="00225A89"/>
    <w:rsid w:val="002263E3"/>
    <w:rsid w:val="00230698"/>
    <w:rsid w:val="002308B9"/>
    <w:rsid w:val="00230995"/>
    <w:rsid w:val="002317D5"/>
    <w:rsid w:val="00234E2F"/>
    <w:rsid w:val="002371F4"/>
    <w:rsid w:val="00241875"/>
    <w:rsid w:val="002428C9"/>
    <w:rsid w:val="00246746"/>
    <w:rsid w:val="002474B0"/>
    <w:rsid w:val="00250A0C"/>
    <w:rsid w:val="00250C8B"/>
    <w:rsid w:val="0025636B"/>
    <w:rsid w:val="00256808"/>
    <w:rsid w:val="00273F8E"/>
    <w:rsid w:val="00275665"/>
    <w:rsid w:val="00283481"/>
    <w:rsid w:val="002839CE"/>
    <w:rsid w:val="00283C27"/>
    <w:rsid w:val="00284CAB"/>
    <w:rsid w:val="0028547F"/>
    <w:rsid w:val="0028669B"/>
    <w:rsid w:val="002937F7"/>
    <w:rsid w:val="00294663"/>
    <w:rsid w:val="00294757"/>
    <w:rsid w:val="0029479F"/>
    <w:rsid w:val="0029670B"/>
    <w:rsid w:val="002A04AE"/>
    <w:rsid w:val="002A0F7B"/>
    <w:rsid w:val="002A1335"/>
    <w:rsid w:val="002A160D"/>
    <w:rsid w:val="002A3B80"/>
    <w:rsid w:val="002A3D89"/>
    <w:rsid w:val="002A731F"/>
    <w:rsid w:val="002A7BAF"/>
    <w:rsid w:val="002B36A3"/>
    <w:rsid w:val="002B7E40"/>
    <w:rsid w:val="002C2E67"/>
    <w:rsid w:val="002C46D1"/>
    <w:rsid w:val="002C4DB4"/>
    <w:rsid w:val="002C525C"/>
    <w:rsid w:val="002C5468"/>
    <w:rsid w:val="002C72C5"/>
    <w:rsid w:val="002D01F8"/>
    <w:rsid w:val="002D2F80"/>
    <w:rsid w:val="002D6B61"/>
    <w:rsid w:val="002D7779"/>
    <w:rsid w:val="002E54E3"/>
    <w:rsid w:val="002F2595"/>
    <w:rsid w:val="002F41CF"/>
    <w:rsid w:val="002F5189"/>
    <w:rsid w:val="002F70CC"/>
    <w:rsid w:val="00301691"/>
    <w:rsid w:val="003047DB"/>
    <w:rsid w:val="00311256"/>
    <w:rsid w:val="003118D1"/>
    <w:rsid w:val="00313878"/>
    <w:rsid w:val="00325771"/>
    <w:rsid w:val="00327659"/>
    <w:rsid w:val="00331E4B"/>
    <w:rsid w:val="00333556"/>
    <w:rsid w:val="0033558C"/>
    <w:rsid w:val="00340F5B"/>
    <w:rsid w:val="00343547"/>
    <w:rsid w:val="00345567"/>
    <w:rsid w:val="003459C5"/>
    <w:rsid w:val="003465DA"/>
    <w:rsid w:val="00347541"/>
    <w:rsid w:val="003508A6"/>
    <w:rsid w:val="00350B93"/>
    <w:rsid w:val="00354F40"/>
    <w:rsid w:val="00355BDE"/>
    <w:rsid w:val="0035643C"/>
    <w:rsid w:val="003613B0"/>
    <w:rsid w:val="00363AB8"/>
    <w:rsid w:val="00365A87"/>
    <w:rsid w:val="00366EC4"/>
    <w:rsid w:val="00370FD8"/>
    <w:rsid w:val="00374598"/>
    <w:rsid w:val="003808F9"/>
    <w:rsid w:val="0038151A"/>
    <w:rsid w:val="00381C87"/>
    <w:rsid w:val="0039249B"/>
    <w:rsid w:val="00394BF0"/>
    <w:rsid w:val="00395B30"/>
    <w:rsid w:val="00397C26"/>
    <w:rsid w:val="003A4FB5"/>
    <w:rsid w:val="003B118C"/>
    <w:rsid w:val="003B208C"/>
    <w:rsid w:val="003B2AB9"/>
    <w:rsid w:val="003B5447"/>
    <w:rsid w:val="003C4B57"/>
    <w:rsid w:val="003C5B73"/>
    <w:rsid w:val="003D3284"/>
    <w:rsid w:val="003D396C"/>
    <w:rsid w:val="003D3AE5"/>
    <w:rsid w:val="003D4CB9"/>
    <w:rsid w:val="003D4DDC"/>
    <w:rsid w:val="003E09A0"/>
    <w:rsid w:val="003E1ACF"/>
    <w:rsid w:val="003E7F29"/>
    <w:rsid w:val="003F0E52"/>
    <w:rsid w:val="003F5145"/>
    <w:rsid w:val="00400AE9"/>
    <w:rsid w:val="00402D56"/>
    <w:rsid w:val="00406091"/>
    <w:rsid w:val="00421A2C"/>
    <w:rsid w:val="004230FF"/>
    <w:rsid w:val="00431805"/>
    <w:rsid w:val="004329FD"/>
    <w:rsid w:val="00436378"/>
    <w:rsid w:val="00443C0C"/>
    <w:rsid w:val="00443C8A"/>
    <w:rsid w:val="00444D54"/>
    <w:rsid w:val="00445019"/>
    <w:rsid w:val="00445A39"/>
    <w:rsid w:val="00445C54"/>
    <w:rsid w:val="00460CB4"/>
    <w:rsid w:val="00462832"/>
    <w:rsid w:val="004670F0"/>
    <w:rsid w:val="004725FB"/>
    <w:rsid w:val="0047445B"/>
    <w:rsid w:val="00474744"/>
    <w:rsid w:val="004779E8"/>
    <w:rsid w:val="0048049F"/>
    <w:rsid w:val="00482119"/>
    <w:rsid w:val="00483641"/>
    <w:rsid w:val="00485F1C"/>
    <w:rsid w:val="00487DBB"/>
    <w:rsid w:val="004922E2"/>
    <w:rsid w:val="00493181"/>
    <w:rsid w:val="0049568C"/>
    <w:rsid w:val="004A25D1"/>
    <w:rsid w:val="004A2D6D"/>
    <w:rsid w:val="004A3704"/>
    <w:rsid w:val="004A4BFE"/>
    <w:rsid w:val="004A52A0"/>
    <w:rsid w:val="004A7B5A"/>
    <w:rsid w:val="004B0407"/>
    <w:rsid w:val="004B2D92"/>
    <w:rsid w:val="004B3721"/>
    <w:rsid w:val="004B407F"/>
    <w:rsid w:val="004B6982"/>
    <w:rsid w:val="004C035D"/>
    <w:rsid w:val="004C1430"/>
    <w:rsid w:val="004C45A8"/>
    <w:rsid w:val="004C4C77"/>
    <w:rsid w:val="004C6919"/>
    <w:rsid w:val="004D027E"/>
    <w:rsid w:val="004D1235"/>
    <w:rsid w:val="004D6193"/>
    <w:rsid w:val="004D7B3B"/>
    <w:rsid w:val="004E661B"/>
    <w:rsid w:val="004E7B04"/>
    <w:rsid w:val="004F2250"/>
    <w:rsid w:val="00500344"/>
    <w:rsid w:val="00500923"/>
    <w:rsid w:val="00500B8A"/>
    <w:rsid w:val="005011F5"/>
    <w:rsid w:val="0050398F"/>
    <w:rsid w:val="00505BC9"/>
    <w:rsid w:val="00507136"/>
    <w:rsid w:val="0050783D"/>
    <w:rsid w:val="00512585"/>
    <w:rsid w:val="00512E22"/>
    <w:rsid w:val="005137ED"/>
    <w:rsid w:val="0051729F"/>
    <w:rsid w:val="00521645"/>
    <w:rsid w:val="005217B4"/>
    <w:rsid w:val="005235ED"/>
    <w:rsid w:val="005245DC"/>
    <w:rsid w:val="0052710A"/>
    <w:rsid w:val="00527E56"/>
    <w:rsid w:val="00530F0D"/>
    <w:rsid w:val="00531E2B"/>
    <w:rsid w:val="00535378"/>
    <w:rsid w:val="00537EAB"/>
    <w:rsid w:val="00540859"/>
    <w:rsid w:val="00542C4E"/>
    <w:rsid w:val="00552043"/>
    <w:rsid w:val="00552C9C"/>
    <w:rsid w:val="00553361"/>
    <w:rsid w:val="00556F54"/>
    <w:rsid w:val="00557692"/>
    <w:rsid w:val="00560CF3"/>
    <w:rsid w:val="00561FF7"/>
    <w:rsid w:val="00564535"/>
    <w:rsid w:val="00564CC9"/>
    <w:rsid w:val="005651E1"/>
    <w:rsid w:val="00566119"/>
    <w:rsid w:val="00574671"/>
    <w:rsid w:val="00576516"/>
    <w:rsid w:val="005819DA"/>
    <w:rsid w:val="00596445"/>
    <w:rsid w:val="005A07A6"/>
    <w:rsid w:val="005A358C"/>
    <w:rsid w:val="005B3737"/>
    <w:rsid w:val="005B76F4"/>
    <w:rsid w:val="005C2382"/>
    <w:rsid w:val="005C2974"/>
    <w:rsid w:val="005C3FAD"/>
    <w:rsid w:val="005C6811"/>
    <w:rsid w:val="005D5B38"/>
    <w:rsid w:val="005D7276"/>
    <w:rsid w:val="005E0AB0"/>
    <w:rsid w:val="005E188D"/>
    <w:rsid w:val="005E2EF8"/>
    <w:rsid w:val="005E6E05"/>
    <w:rsid w:val="005F7893"/>
    <w:rsid w:val="0060173E"/>
    <w:rsid w:val="00602809"/>
    <w:rsid w:val="00602A7F"/>
    <w:rsid w:val="006041D9"/>
    <w:rsid w:val="00606580"/>
    <w:rsid w:val="00606814"/>
    <w:rsid w:val="006100D9"/>
    <w:rsid w:val="0061457F"/>
    <w:rsid w:val="006160F8"/>
    <w:rsid w:val="00621839"/>
    <w:rsid w:val="00622DEB"/>
    <w:rsid w:val="00623B92"/>
    <w:rsid w:val="00626E88"/>
    <w:rsid w:val="00633931"/>
    <w:rsid w:val="00634131"/>
    <w:rsid w:val="00636360"/>
    <w:rsid w:val="00637293"/>
    <w:rsid w:val="006437B2"/>
    <w:rsid w:val="006474E2"/>
    <w:rsid w:val="006503BE"/>
    <w:rsid w:val="00652009"/>
    <w:rsid w:val="00653A65"/>
    <w:rsid w:val="00660B60"/>
    <w:rsid w:val="006629BE"/>
    <w:rsid w:val="00671C63"/>
    <w:rsid w:val="0067477C"/>
    <w:rsid w:val="00675AA9"/>
    <w:rsid w:val="00676245"/>
    <w:rsid w:val="00682DD2"/>
    <w:rsid w:val="006835C4"/>
    <w:rsid w:val="00683D45"/>
    <w:rsid w:val="00684EC8"/>
    <w:rsid w:val="00691193"/>
    <w:rsid w:val="006936D0"/>
    <w:rsid w:val="0069554B"/>
    <w:rsid w:val="00696434"/>
    <w:rsid w:val="006A0BC3"/>
    <w:rsid w:val="006A1018"/>
    <w:rsid w:val="006A179D"/>
    <w:rsid w:val="006A3250"/>
    <w:rsid w:val="006A3563"/>
    <w:rsid w:val="006A6BEC"/>
    <w:rsid w:val="006B29C2"/>
    <w:rsid w:val="006B5A0F"/>
    <w:rsid w:val="006B6695"/>
    <w:rsid w:val="006B67DA"/>
    <w:rsid w:val="006C11F7"/>
    <w:rsid w:val="006C1AB0"/>
    <w:rsid w:val="006C2302"/>
    <w:rsid w:val="006C3D01"/>
    <w:rsid w:val="006C550B"/>
    <w:rsid w:val="006C601B"/>
    <w:rsid w:val="006D6748"/>
    <w:rsid w:val="006E452A"/>
    <w:rsid w:val="006E4DE1"/>
    <w:rsid w:val="006E7372"/>
    <w:rsid w:val="006F2F24"/>
    <w:rsid w:val="006F7097"/>
    <w:rsid w:val="006F72D2"/>
    <w:rsid w:val="007000E7"/>
    <w:rsid w:val="00700E06"/>
    <w:rsid w:val="007020EF"/>
    <w:rsid w:val="0070210F"/>
    <w:rsid w:val="0070603B"/>
    <w:rsid w:val="00706E94"/>
    <w:rsid w:val="00714283"/>
    <w:rsid w:val="00716E58"/>
    <w:rsid w:val="0071755E"/>
    <w:rsid w:val="00721020"/>
    <w:rsid w:val="0072277C"/>
    <w:rsid w:val="007249C4"/>
    <w:rsid w:val="007249D3"/>
    <w:rsid w:val="007250AE"/>
    <w:rsid w:val="007260F8"/>
    <w:rsid w:val="00727F79"/>
    <w:rsid w:val="0073176A"/>
    <w:rsid w:val="00734C43"/>
    <w:rsid w:val="0074056E"/>
    <w:rsid w:val="007410AD"/>
    <w:rsid w:val="00741682"/>
    <w:rsid w:val="00742BDF"/>
    <w:rsid w:val="0074585D"/>
    <w:rsid w:val="00745BEF"/>
    <w:rsid w:val="00747413"/>
    <w:rsid w:val="007536C8"/>
    <w:rsid w:val="00754431"/>
    <w:rsid w:val="00766183"/>
    <w:rsid w:val="00766453"/>
    <w:rsid w:val="00767BCB"/>
    <w:rsid w:val="00771AC4"/>
    <w:rsid w:val="00773F21"/>
    <w:rsid w:val="0077490D"/>
    <w:rsid w:val="007759FD"/>
    <w:rsid w:val="007770D4"/>
    <w:rsid w:val="00777E47"/>
    <w:rsid w:val="00783070"/>
    <w:rsid w:val="0078680A"/>
    <w:rsid w:val="00791C6F"/>
    <w:rsid w:val="007A0DDB"/>
    <w:rsid w:val="007A23D7"/>
    <w:rsid w:val="007B2E15"/>
    <w:rsid w:val="007B4E2A"/>
    <w:rsid w:val="007C1ADD"/>
    <w:rsid w:val="007C2C41"/>
    <w:rsid w:val="007C5FEF"/>
    <w:rsid w:val="007C61CA"/>
    <w:rsid w:val="007D0813"/>
    <w:rsid w:val="007D4FE6"/>
    <w:rsid w:val="007D5CA3"/>
    <w:rsid w:val="007E0FF2"/>
    <w:rsid w:val="007E2F6B"/>
    <w:rsid w:val="007E52E9"/>
    <w:rsid w:val="007E5D4A"/>
    <w:rsid w:val="007E6CF2"/>
    <w:rsid w:val="007F0656"/>
    <w:rsid w:val="007F1E9B"/>
    <w:rsid w:val="007F4595"/>
    <w:rsid w:val="007F7475"/>
    <w:rsid w:val="007F76BC"/>
    <w:rsid w:val="00800FF5"/>
    <w:rsid w:val="0080154B"/>
    <w:rsid w:val="00802596"/>
    <w:rsid w:val="00802E00"/>
    <w:rsid w:val="008040FF"/>
    <w:rsid w:val="00806113"/>
    <w:rsid w:val="00806628"/>
    <w:rsid w:val="00807485"/>
    <w:rsid w:val="008153D8"/>
    <w:rsid w:val="00815EF1"/>
    <w:rsid w:val="008169E4"/>
    <w:rsid w:val="00822017"/>
    <w:rsid w:val="008228B5"/>
    <w:rsid w:val="0082298B"/>
    <w:rsid w:val="00832131"/>
    <w:rsid w:val="008347A3"/>
    <w:rsid w:val="00835629"/>
    <w:rsid w:val="00840020"/>
    <w:rsid w:val="00841F27"/>
    <w:rsid w:val="00845518"/>
    <w:rsid w:val="00846715"/>
    <w:rsid w:val="008468A6"/>
    <w:rsid w:val="008513C6"/>
    <w:rsid w:val="00851DCD"/>
    <w:rsid w:val="008531F5"/>
    <w:rsid w:val="00860B8B"/>
    <w:rsid w:val="00860DD4"/>
    <w:rsid w:val="00871212"/>
    <w:rsid w:val="008713DD"/>
    <w:rsid w:val="008718D3"/>
    <w:rsid w:val="008722A4"/>
    <w:rsid w:val="00874D55"/>
    <w:rsid w:val="00875682"/>
    <w:rsid w:val="008776D4"/>
    <w:rsid w:val="0088153A"/>
    <w:rsid w:val="0088265C"/>
    <w:rsid w:val="00882FA3"/>
    <w:rsid w:val="00883099"/>
    <w:rsid w:val="008852C5"/>
    <w:rsid w:val="00885919"/>
    <w:rsid w:val="00886C16"/>
    <w:rsid w:val="008871AA"/>
    <w:rsid w:val="008879C5"/>
    <w:rsid w:val="008957AD"/>
    <w:rsid w:val="00896F02"/>
    <w:rsid w:val="008A07E9"/>
    <w:rsid w:val="008A2758"/>
    <w:rsid w:val="008A2A9C"/>
    <w:rsid w:val="008A3492"/>
    <w:rsid w:val="008A5D26"/>
    <w:rsid w:val="008A670E"/>
    <w:rsid w:val="008B14B0"/>
    <w:rsid w:val="008B520A"/>
    <w:rsid w:val="008B7FC9"/>
    <w:rsid w:val="008C08F4"/>
    <w:rsid w:val="008C3554"/>
    <w:rsid w:val="008C42C8"/>
    <w:rsid w:val="008C5F6D"/>
    <w:rsid w:val="008D0685"/>
    <w:rsid w:val="008D4203"/>
    <w:rsid w:val="008D5CC5"/>
    <w:rsid w:val="008D5DA6"/>
    <w:rsid w:val="008E56A9"/>
    <w:rsid w:val="008E6B66"/>
    <w:rsid w:val="008E7DF2"/>
    <w:rsid w:val="008F0202"/>
    <w:rsid w:val="008F13F5"/>
    <w:rsid w:val="008F497D"/>
    <w:rsid w:val="008F55A9"/>
    <w:rsid w:val="008F5D9A"/>
    <w:rsid w:val="008F65F4"/>
    <w:rsid w:val="00902DD2"/>
    <w:rsid w:val="00904CA6"/>
    <w:rsid w:val="00922047"/>
    <w:rsid w:val="0092355B"/>
    <w:rsid w:val="00926846"/>
    <w:rsid w:val="0093014E"/>
    <w:rsid w:val="00931AF6"/>
    <w:rsid w:val="00935CDF"/>
    <w:rsid w:val="00936D34"/>
    <w:rsid w:val="00937837"/>
    <w:rsid w:val="009425DF"/>
    <w:rsid w:val="00947CA4"/>
    <w:rsid w:val="00950D57"/>
    <w:rsid w:val="00956B4D"/>
    <w:rsid w:val="00957AD8"/>
    <w:rsid w:val="00962EF4"/>
    <w:rsid w:val="00963E3D"/>
    <w:rsid w:val="00965F03"/>
    <w:rsid w:val="00966328"/>
    <w:rsid w:val="009666B9"/>
    <w:rsid w:val="00971BB1"/>
    <w:rsid w:val="009733F8"/>
    <w:rsid w:val="00973DB7"/>
    <w:rsid w:val="00977F33"/>
    <w:rsid w:val="009813FC"/>
    <w:rsid w:val="00982053"/>
    <w:rsid w:val="009821C0"/>
    <w:rsid w:val="009838B4"/>
    <w:rsid w:val="00986E6A"/>
    <w:rsid w:val="009910F6"/>
    <w:rsid w:val="00992FA7"/>
    <w:rsid w:val="009955DB"/>
    <w:rsid w:val="009967EC"/>
    <w:rsid w:val="009A0074"/>
    <w:rsid w:val="009A3D54"/>
    <w:rsid w:val="009A414F"/>
    <w:rsid w:val="009A449E"/>
    <w:rsid w:val="009A6BF3"/>
    <w:rsid w:val="009C0C84"/>
    <w:rsid w:val="009C66CE"/>
    <w:rsid w:val="009C682D"/>
    <w:rsid w:val="009D1248"/>
    <w:rsid w:val="009D5032"/>
    <w:rsid w:val="009D561B"/>
    <w:rsid w:val="009D6813"/>
    <w:rsid w:val="009D6BAA"/>
    <w:rsid w:val="009D70E4"/>
    <w:rsid w:val="009E5FF9"/>
    <w:rsid w:val="009F1D42"/>
    <w:rsid w:val="009F3EEF"/>
    <w:rsid w:val="009F4DDA"/>
    <w:rsid w:val="009F5E45"/>
    <w:rsid w:val="009F67A7"/>
    <w:rsid w:val="00A01A61"/>
    <w:rsid w:val="00A062A9"/>
    <w:rsid w:val="00A11F6B"/>
    <w:rsid w:val="00A1436E"/>
    <w:rsid w:val="00A163C3"/>
    <w:rsid w:val="00A21C15"/>
    <w:rsid w:val="00A2688C"/>
    <w:rsid w:val="00A304A3"/>
    <w:rsid w:val="00A41C06"/>
    <w:rsid w:val="00A514E3"/>
    <w:rsid w:val="00A5251A"/>
    <w:rsid w:val="00A52AA3"/>
    <w:rsid w:val="00A52FE2"/>
    <w:rsid w:val="00A530C7"/>
    <w:rsid w:val="00A5323A"/>
    <w:rsid w:val="00A53963"/>
    <w:rsid w:val="00A5475C"/>
    <w:rsid w:val="00A57780"/>
    <w:rsid w:val="00A579D6"/>
    <w:rsid w:val="00A57D4D"/>
    <w:rsid w:val="00A606B1"/>
    <w:rsid w:val="00A62C22"/>
    <w:rsid w:val="00A634E7"/>
    <w:rsid w:val="00A6490C"/>
    <w:rsid w:val="00A6570B"/>
    <w:rsid w:val="00A66999"/>
    <w:rsid w:val="00A76A80"/>
    <w:rsid w:val="00A81608"/>
    <w:rsid w:val="00A84098"/>
    <w:rsid w:val="00A849D0"/>
    <w:rsid w:val="00A85610"/>
    <w:rsid w:val="00A86929"/>
    <w:rsid w:val="00A90820"/>
    <w:rsid w:val="00A92BCF"/>
    <w:rsid w:val="00A95276"/>
    <w:rsid w:val="00AA02EB"/>
    <w:rsid w:val="00AA1D93"/>
    <w:rsid w:val="00AA20EC"/>
    <w:rsid w:val="00AA2865"/>
    <w:rsid w:val="00AA60B9"/>
    <w:rsid w:val="00AA69D2"/>
    <w:rsid w:val="00AA7B8B"/>
    <w:rsid w:val="00AB2659"/>
    <w:rsid w:val="00AB4E7F"/>
    <w:rsid w:val="00AB7D38"/>
    <w:rsid w:val="00AB7E3E"/>
    <w:rsid w:val="00AC2BFA"/>
    <w:rsid w:val="00AC56C7"/>
    <w:rsid w:val="00AD5B00"/>
    <w:rsid w:val="00AD63CB"/>
    <w:rsid w:val="00AD73A7"/>
    <w:rsid w:val="00AE1091"/>
    <w:rsid w:val="00AE178B"/>
    <w:rsid w:val="00AE3B29"/>
    <w:rsid w:val="00AE4ECA"/>
    <w:rsid w:val="00AE7152"/>
    <w:rsid w:val="00AF26A3"/>
    <w:rsid w:val="00AF2D44"/>
    <w:rsid w:val="00AF421A"/>
    <w:rsid w:val="00AF551F"/>
    <w:rsid w:val="00AF687A"/>
    <w:rsid w:val="00B008A3"/>
    <w:rsid w:val="00B03366"/>
    <w:rsid w:val="00B04518"/>
    <w:rsid w:val="00B04A4E"/>
    <w:rsid w:val="00B123F5"/>
    <w:rsid w:val="00B13F16"/>
    <w:rsid w:val="00B154AF"/>
    <w:rsid w:val="00B16900"/>
    <w:rsid w:val="00B21A56"/>
    <w:rsid w:val="00B25B16"/>
    <w:rsid w:val="00B25FAD"/>
    <w:rsid w:val="00B269DF"/>
    <w:rsid w:val="00B310E3"/>
    <w:rsid w:val="00B325BE"/>
    <w:rsid w:val="00B33CF7"/>
    <w:rsid w:val="00B33FC1"/>
    <w:rsid w:val="00B403D4"/>
    <w:rsid w:val="00B446D1"/>
    <w:rsid w:val="00B45EEA"/>
    <w:rsid w:val="00B47488"/>
    <w:rsid w:val="00B501F4"/>
    <w:rsid w:val="00B50F07"/>
    <w:rsid w:val="00B54A7C"/>
    <w:rsid w:val="00B54AC8"/>
    <w:rsid w:val="00B66DCA"/>
    <w:rsid w:val="00B6761E"/>
    <w:rsid w:val="00B733C3"/>
    <w:rsid w:val="00B77ED2"/>
    <w:rsid w:val="00B83DF2"/>
    <w:rsid w:val="00B872FC"/>
    <w:rsid w:val="00B94FDD"/>
    <w:rsid w:val="00B9645A"/>
    <w:rsid w:val="00BA2D5B"/>
    <w:rsid w:val="00BA2FC3"/>
    <w:rsid w:val="00BA4F59"/>
    <w:rsid w:val="00BA57F0"/>
    <w:rsid w:val="00BB3651"/>
    <w:rsid w:val="00BC2D41"/>
    <w:rsid w:val="00BC482D"/>
    <w:rsid w:val="00BC72BE"/>
    <w:rsid w:val="00BD3C9A"/>
    <w:rsid w:val="00BD487E"/>
    <w:rsid w:val="00BD4B30"/>
    <w:rsid w:val="00BD589E"/>
    <w:rsid w:val="00BE5EA7"/>
    <w:rsid w:val="00BE79E3"/>
    <w:rsid w:val="00BF13E0"/>
    <w:rsid w:val="00BF203D"/>
    <w:rsid w:val="00BF2BEE"/>
    <w:rsid w:val="00C0476D"/>
    <w:rsid w:val="00C06A59"/>
    <w:rsid w:val="00C10879"/>
    <w:rsid w:val="00C10C32"/>
    <w:rsid w:val="00C1555F"/>
    <w:rsid w:val="00C15617"/>
    <w:rsid w:val="00C15C80"/>
    <w:rsid w:val="00C16E2D"/>
    <w:rsid w:val="00C218E4"/>
    <w:rsid w:val="00C2431C"/>
    <w:rsid w:val="00C243CC"/>
    <w:rsid w:val="00C24664"/>
    <w:rsid w:val="00C2474A"/>
    <w:rsid w:val="00C255FF"/>
    <w:rsid w:val="00C25673"/>
    <w:rsid w:val="00C3199F"/>
    <w:rsid w:val="00C3508A"/>
    <w:rsid w:val="00C3631E"/>
    <w:rsid w:val="00C408F8"/>
    <w:rsid w:val="00C41325"/>
    <w:rsid w:val="00C41738"/>
    <w:rsid w:val="00C41788"/>
    <w:rsid w:val="00C45679"/>
    <w:rsid w:val="00C53269"/>
    <w:rsid w:val="00C556A6"/>
    <w:rsid w:val="00C65114"/>
    <w:rsid w:val="00C705F6"/>
    <w:rsid w:val="00C709B4"/>
    <w:rsid w:val="00C70D2D"/>
    <w:rsid w:val="00C72273"/>
    <w:rsid w:val="00C74E34"/>
    <w:rsid w:val="00C74F15"/>
    <w:rsid w:val="00C80513"/>
    <w:rsid w:val="00C83E1E"/>
    <w:rsid w:val="00C83E54"/>
    <w:rsid w:val="00C86F44"/>
    <w:rsid w:val="00C87790"/>
    <w:rsid w:val="00C87BA6"/>
    <w:rsid w:val="00C9262C"/>
    <w:rsid w:val="00C94CF4"/>
    <w:rsid w:val="00C965A5"/>
    <w:rsid w:val="00C96647"/>
    <w:rsid w:val="00CA4058"/>
    <w:rsid w:val="00CA73D1"/>
    <w:rsid w:val="00CB135A"/>
    <w:rsid w:val="00CB5032"/>
    <w:rsid w:val="00CB5794"/>
    <w:rsid w:val="00CB7701"/>
    <w:rsid w:val="00CC52B3"/>
    <w:rsid w:val="00CD5574"/>
    <w:rsid w:val="00CD589C"/>
    <w:rsid w:val="00CD6908"/>
    <w:rsid w:val="00CE085C"/>
    <w:rsid w:val="00CE3B57"/>
    <w:rsid w:val="00CF561D"/>
    <w:rsid w:val="00D01690"/>
    <w:rsid w:val="00D0232E"/>
    <w:rsid w:val="00D030ED"/>
    <w:rsid w:val="00D04BF3"/>
    <w:rsid w:val="00D06424"/>
    <w:rsid w:val="00D074E4"/>
    <w:rsid w:val="00D129FA"/>
    <w:rsid w:val="00D12E1B"/>
    <w:rsid w:val="00D14A5B"/>
    <w:rsid w:val="00D14B7D"/>
    <w:rsid w:val="00D1526D"/>
    <w:rsid w:val="00D22F1C"/>
    <w:rsid w:val="00D25959"/>
    <w:rsid w:val="00D261B7"/>
    <w:rsid w:val="00D268F3"/>
    <w:rsid w:val="00D27E09"/>
    <w:rsid w:val="00D3256C"/>
    <w:rsid w:val="00D3488E"/>
    <w:rsid w:val="00D3629B"/>
    <w:rsid w:val="00D41DD2"/>
    <w:rsid w:val="00D460AB"/>
    <w:rsid w:val="00D46B7A"/>
    <w:rsid w:val="00D47C14"/>
    <w:rsid w:val="00D507D3"/>
    <w:rsid w:val="00D51BE8"/>
    <w:rsid w:val="00D51BF3"/>
    <w:rsid w:val="00D560C3"/>
    <w:rsid w:val="00D600B3"/>
    <w:rsid w:val="00D62C16"/>
    <w:rsid w:val="00D636D2"/>
    <w:rsid w:val="00D63F15"/>
    <w:rsid w:val="00D646EA"/>
    <w:rsid w:val="00D75914"/>
    <w:rsid w:val="00D76D43"/>
    <w:rsid w:val="00D868E0"/>
    <w:rsid w:val="00D903C3"/>
    <w:rsid w:val="00D92149"/>
    <w:rsid w:val="00D92B9A"/>
    <w:rsid w:val="00D97695"/>
    <w:rsid w:val="00DA0F44"/>
    <w:rsid w:val="00DA19C7"/>
    <w:rsid w:val="00DA2A3F"/>
    <w:rsid w:val="00DA2E79"/>
    <w:rsid w:val="00DB3721"/>
    <w:rsid w:val="00DB566C"/>
    <w:rsid w:val="00DB6C56"/>
    <w:rsid w:val="00DC197C"/>
    <w:rsid w:val="00DC3D94"/>
    <w:rsid w:val="00DD0132"/>
    <w:rsid w:val="00DD0AED"/>
    <w:rsid w:val="00DD7F2F"/>
    <w:rsid w:val="00DE3441"/>
    <w:rsid w:val="00DE485B"/>
    <w:rsid w:val="00DE6854"/>
    <w:rsid w:val="00DF0973"/>
    <w:rsid w:val="00DF14B7"/>
    <w:rsid w:val="00DF4703"/>
    <w:rsid w:val="00DF65E6"/>
    <w:rsid w:val="00DF7DF9"/>
    <w:rsid w:val="00E004DB"/>
    <w:rsid w:val="00E00A67"/>
    <w:rsid w:val="00E0384C"/>
    <w:rsid w:val="00E071DB"/>
    <w:rsid w:val="00E073C1"/>
    <w:rsid w:val="00E11CC8"/>
    <w:rsid w:val="00E1322C"/>
    <w:rsid w:val="00E1346A"/>
    <w:rsid w:val="00E1440E"/>
    <w:rsid w:val="00E21A01"/>
    <w:rsid w:val="00E2243A"/>
    <w:rsid w:val="00E232EB"/>
    <w:rsid w:val="00E24B01"/>
    <w:rsid w:val="00E267B4"/>
    <w:rsid w:val="00E313D1"/>
    <w:rsid w:val="00E344BB"/>
    <w:rsid w:val="00E46D99"/>
    <w:rsid w:val="00E5260C"/>
    <w:rsid w:val="00E53286"/>
    <w:rsid w:val="00E534E4"/>
    <w:rsid w:val="00E542F6"/>
    <w:rsid w:val="00E629B0"/>
    <w:rsid w:val="00E64763"/>
    <w:rsid w:val="00E73135"/>
    <w:rsid w:val="00E84BBD"/>
    <w:rsid w:val="00E856A5"/>
    <w:rsid w:val="00E85E46"/>
    <w:rsid w:val="00E86BB3"/>
    <w:rsid w:val="00E90311"/>
    <w:rsid w:val="00E93203"/>
    <w:rsid w:val="00E95C77"/>
    <w:rsid w:val="00E96465"/>
    <w:rsid w:val="00EA0ED3"/>
    <w:rsid w:val="00EA20E5"/>
    <w:rsid w:val="00EA2612"/>
    <w:rsid w:val="00EA2FC0"/>
    <w:rsid w:val="00EA5EBF"/>
    <w:rsid w:val="00EA6BB3"/>
    <w:rsid w:val="00EA779D"/>
    <w:rsid w:val="00EB317C"/>
    <w:rsid w:val="00EB365D"/>
    <w:rsid w:val="00EB6314"/>
    <w:rsid w:val="00EB6AEB"/>
    <w:rsid w:val="00EB75C7"/>
    <w:rsid w:val="00EC11CA"/>
    <w:rsid w:val="00EC2C47"/>
    <w:rsid w:val="00ED0ACD"/>
    <w:rsid w:val="00ED1126"/>
    <w:rsid w:val="00ED142F"/>
    <w:rsid w:val="00ED1D9C"/>
    <w:rsid w:val="00ED413C"/>
    <w:rsid w:val="00ED715A"/>
    <w:rsid w:val="00EE0964"/>
    <w:rsid w:val="00EE0BB5"/>
    <w:rsid w:val="00EE2B4C"/>
    <w:rsid w:val="00EE383D"/>
    <w:rsid w:val="00EE42F9"/>
    <w:rsid w:val="00EF1C62"/>
    <w:rsid w:val="00EF4FEA"/>
    <w:rsid w:val="00EF5846"/>
    <w:rsid w:val="00EF7BED"/>
    <w:rsid w:val="00F01441"/>
    <w:rsid w:val="00F10A97"/>
    <w:rsid w:val="00F138B7"/>
    <w:rsid w:val="00F13F99"/>
    <w:rsid w:val="00F14F70"/>
    <w:rsid w:val="00F15BFE"/>
    <w:rsid w:val="00F15D88"/>
    <w:rsid w:val="00F1766E"/>
    <w:rsid w:val="00F22B4C"/>
    <w:rsid w:val="00F25BE0"/>
    <w:rsid w:val="00F4338D"/>
    <w:rsid w:val="00F43728"/>
    <w:rsid w:val="00F4412D"/>
    <w:rsid w:val="00F51187"/>
    <w:rsid w:val="00F523C2"/>
    <w:rsid w:val="00F54B1E"/>
    <w:rsid w:val="00F55557"/>
    <w:rsid w:val="00F55996"/>
    <w:rsid w:val="00F5776D"/>
    <w:rsid w:val="00F60176"/>
    <w:rsid w:val="00F604EC"/>
    <w:rsid w:val="00F612EA"/>
    <w:rsid w:val="00F64999"/>
    <w:rsid w:val="00F64A28"/>
    <w:rsid w:val="00F64C0F"/>
    <w:rsid w:val="00F71227"/>
    <w:rsid w:val="00F72C2C"/>
    <w:rsid w:val="00F76896"/>
    <w:rsid w:val="00F76C6B"/>
    <w:rsid w:val="00F76D26"/>
    <w:rsid w:val="00F806E2"/>
    <w:rsid w:val="00F81A69"/>
    <w:rsid w:val="00F8662D"/>
    <w:rsid w:val="00F877CD"/>
    <w:rsid w:val="00F87B51"/>
    <w:rsid w:val="00F90706"/>
    <w:rsid w:val="00F95E28"/>
    <w:rsid w:val="00FA0B77"/>
    <w:rsid w:val="00FA1F1E"/>
    <w:rsid w:val="00FB1851"/>
    <w:rsid w:val="00FB5261"/>
    <w:rsid w:val="00FB6A73"/>
    <w:rsid w:val="00FC1414"/>
    <w:rsid w:val="00FC409A"/>
    <w:rsid w:val="00FC4FDA"/>
    <w:rsid w:val="00FC619E"/>
    <w:rsid w:val="00FD0BBC"/>
    <w:rsid w:val="00FD2E78"/>
    <w:rsid w:val="00FD3329"/>
    <w:rsid w:val="00FD3D85"/>
    <w:rsid w:val="00FD4A57"/>
    <w:rsid w:val="00FD5A6D"/>
    <w:rsid w:val="00FE1BBA"/>
    <w:rsid w:val="00FE2338"/>
    <w:rsid w:val="00FE568B"/>
    <w:rsid w:val="00FE5C9E"/>
    <w:rsid w:val="00FF1B2E"/>
    <w:rsid w:val="00FF4601"/>
    <w:rsid w:val="00FF5D81"/>
    <w:rsid w:val="00FF6716"/>
    <w:rsid w:val="00FF77FA"/>
    <w:rsid w:val="011FCE90"/>
    <w:rsid w:val="0169BF08"/>
    <w:rsid w:val="0204CD19"/>
    <w:rsid w:val="0264D1BD"/>
    <w:rsid w:val="029EA0AB"/>
    <w:rsid w:val="02F19910"/>
    <w:rsid w:val="0385520A"/>
    <w:rsid w:val="039ACED5"/>
    <w:rsid w:val="0422A9FD"/>
    <w:rsid w:val="0476BDFE"/>
    <w:rsid w:val="04F78DFD"/>
    <w:rsid w:val="0500BE54"/>
    <w:rsid w:val="0531AFC5"/>
    <w:rsid w:val="0620D8D4"/>
    <w:rsid w:val="06374372"/>
    <w:rsid w:val="063C131A"/>
    <w:rsid w:val="067722A5"/>
    <w:rsid w:val="06EFE6EB"/>
    <w:rsid w:val="08507450"/>
    <w:rsid w:val="08D7D831"/>
    <w:rsid w:val="090D5383"/>
    <w:rsid w:val="09347FE5"/>
    <w:rsid w:val="0A647AB3"/>
    <w:rsid w:val="0AA451AF"/>
    <w:rsid w:val="0AB9A01F"/>
    <w:rsid w:val="0B380F60"/>
    <w:rsid w:val="0B71C8DC"/>
    <w:rsid w:val="0BFC1554"/>
    <w:rsid w:val="0C055968"/>
    <w:rsid w:val="0C2031E4"/>
    <w:rsid w:val="0C4CDA73"/>
    <w:rsid w:val="0C73ACAF"/>
    <w:rsid w:val="0C9AC274"/>
    <w:rsid w:val="0DF40A24"/>
    <w:rsid w:val="0E0FB107"/>
    <w:rsid w:val="0E356279"/>
    <w:rsid w:val="0E7865D6"/>
    <w:rsid w:val="0E9E0471"/>
    <w:rsid w:val="0EA58F74"/>
    <w:rsid w:val="0EFDFC0A"/>
    <w:rsid w:val="0F214D69"/>
    <w:rsid w:val="100F86B7"/>
    <w:rsid w:val="10E3B515"/>
    <w:rsid w:val="10F38570"/>
    <w:rsid w:val="11471729"/>
    <w:rsid w:val="1164F86E"/>
    <w:rsid w:val="11AC026F"/>
    <w:rsid w:val="11AC083F"/>
    <w:rsid w:val="11C17AAB"/>
    <w:rsid w:val="11E87715"/>
    <w:rsid w:val="12036FF2"/>
    <w:rsid w:val="122A73FD"/>
    <w:rsid w:val="1281F3C6"/>
    <w:rsid w:val="12A7F4CA"/>
    <w:rsid w:val="12AE42D8"/>
    <w:rsid w:val="12B29E0F"/>
    <w:rsid w:val="12EC1D26"/>
    <w:rsid w:val="1333B6CA"/>
    <w:rsid w:val="137FEF28"/>
    <w:rsid w:val="13E54C77"/>
    <w:rsid w:val="13ED07C0"/>
    <w:rsid w:val="141BA532"/>
    <w:rsid w:val="14388C60"/>
    <w:rsid w:val="144B56D7"/>
    <w:rsid w:val="14687887"/>
    <w:rsid w:val="151C366F"/>
    <w:rsid w:val="161A4EA9"/>
    <w:rsid w:val="166A6BCC"/>
    <w:rsid w:val="175E77C6"/>
    <w:rsid w:val="1760C104"/>
    <w:rsid w:val="176570C2"/>
    <w:rsid w:val="17676E1D"/>
    <w:rsid w:val="18760794"/>
    <w:rsid w:val="18E1EBF0"/>
    <w:rsid w:val="1945294F"/>
    <w:rsid w:val="195BC5FD"/>
    <w:rsid w:val="19B68587"/>
    <w:rsid w:val="19C383BE"/>
    <w:rsid w:val="1B4D9422"/>
    <w:rsid w:val="1C823C82"/>
    <w:rsid w:val="1CBA6FCB"/>
    <w:rsid w:val="1D31CD8A"/>
    <w:rsid w:val="1D64DF83"/>
    <w:rsid w:val="1D650A39"/>
    <w:rsid w:val="1D7BD2AD"/>
    <w:rsid w:val="1E128685"/>
    <w:rsid w:val="1E371F2D"/>
    <w:rsid w:val="1E4CEB23"/>
    <w:rsid w:val="1EDBBB8E"/>
    <w:rsid w:val="1EF08429"/>
    <w:rsid w:val="1F6273E9"/>
    <w:rsid w:val="205361B8"/>
    <w:rsid w:val="20A23692"/>
    <w:rsid w:val="20B2CE1C"/>
    <w:rsid w:val="2166E32B"/>
    <w:rsid w:val="21C88D0D"/>
    <w:rsid w:val="21D07515"/>
    <w:rsid w:val="220C91AB"/>
    <w:rsid w:val="229DBE43"/>
    <w:rsid w:val="22B31D9C"/>
    <w:rsid w:val="22E6FBDC"/>
    <w:rsid w:val="22F10547"/>
    <w:rsid w:val="234357C4"/>
    <w:rsid w:val="23628291"/>
    <w:rsid w:val="23940060"/>
    <w:rsid w:val="23DA9F74"/>
    <w:rsid w:val="2401EC0B"/>
    <w:rsid w:val="2418FE0E"/>
    <w:rsid w:val="2438F719"/>
    <w:rsid w:val="2446EBD9"/>
    <w:rsid w:val="244F33F4"/>
    <w:rsid w:val="25612E23"/>
    <w:rsid w:val="2582351A"/>
    <w:rsid w:val="25D70E9E"/>
    <w:rsid w:val="26B2D9E5"/>
    <w:rsid w:val="26E76776"/>
    <w:rsid w:val="2751182C"/>
    <w:rsid w:val="279A7965"/>
    <w:rsid w:val="282B9140"/>
    <w:rsid w:val="282C24FD"/>
    <w:rsid w:val="289A495D"/>
    <w:rsid w:val="2908D9BF"/>
    <w:rsid w:val="295C881B"/>
    <w:rsid w:val="29A3546C"/>
    <w:rsid w:val="29A50288"/>
    <w:rsid w:val="29DC231F"/>
    <w:rsid w:val="29E1F8D5"/>
    <w:rsid w:val="2A779A5A"/>
    <w:rsid w:val="2A8B733B"/>
    <w:rsid w:val="2A8DD3B4"/>
    <w:rsid w:val="2A97A367"/>
    <w:rsid w:val="2B21ABA7"/>
    <w:rsid w:val="2B408E36"/>
    <w:rsid w:val="2BA000F3"/>
    <w:rsid w:val="2BA9968D"/>
    <w:rsid w:val="2BD6EC66"/>
    <w:rsid w:val="2C52F442"/>
    <w:rsid w:val="2C5FE93D"/>
    <w:rsid w:val="2C8315DB"/>
    <w:rsid w:val="2CD90E90"/>
    <w:rsid w:val="2DDE429C"/>
    <w:rsid w:val="2DF64D55"/>
    <w:rsid w:val="2E230EAE"/>
    <w:rsid w:val="2E6DD0A7"/>
    <w:rsid w:val="30963337"/>
    <w:rsid w:val="3099B7DA"/>
    <w:rsid w:val="324DC7F5"/>
    <w:rsid w:val="328F537E"/>
    <w:rsid w:val="3294BC38"/>
    <w:rsid w:val="32F386CF"/>
    <w:rsid w:val="335E4EE4"/>
    <w:rsid w:val="33C661EA"/>
    <w:rsid w:val="3409ADBD"/>
    <w:rsid w:val="34AFDD80"/>
    <w:rsid w:val="34EB1AC6"/>
    <w:rsid w:val="35687BCC"/>
    <w:rsid w:val="35BE38CB"/>
    <w:rsid w:val="35D123EE"/>
    <w:rsid w:val="366ED128"/>
    <w:rsid w:val="36B27DAB"/>
    <w:rsid w:val="36E0DF93"/>
    <w:rsid w:val="36ED0F4F"/>
    <w:rsid w:val="36F9DF72"/>
    <w:rsid w:val="374DF089"/>
    <w:rsid w:val="376E6372"/>
    <w:rsid w:val="377F8B11"/>
    <w:rsid w:val="3835840A"/>
    <w:rsid w:val="38F9CC0B"/>
    <w:rsid w:val="39673064"/>
    <w:rsid w:val="397E51D1"/>
    <w:rsid w:val="39B02CC0"/>
    <w:rsid w:val="3A28ABB4"/>
    <w:rsid w:val="3A49ACFF"/>
    <w:rsid w:val="3A7EE972"/>
    <w:rsid w:val="3ABC3165"/>
    <w:rsid w:val="3AF6058E"/>
    <w:rsid w:val="3BEF17AD"/>
    <w:rsid w:val="3C659D60"/>
    <w:rsid w:val="3C6B498B"/>
    <w:rsid w:val="3C9C2B20"/>
    <w:rsid w:val="3CE238D9"/>
    <w:rsid w:val="3D3C0C7D"/>
    <w:rsid w:val="3D497DD3"/>
    <w:rsid w:val="3D5F4BAB"/>
    <w:rsid w:val="3DBA9344"/>
    <w:rsid w:val="3DDB1A52"/>
    <w:rsid w:val="3DE430A1"/>
    <w:rsid w:val="3EFF7494"/>
    <w:rsid w:val="3F665128"/>
    <w:rsid w:val="3FA48817"/>
    <w:rsid w:val="406F29A5"/>
    <w:rsid w:val="40C7FFF3"/>
    <w:rsid w:val="41506CEC"/>
    <w:rsid w:val="417AF0E1"/>
    <w:rsid w:val="418B88E5"/>
    <w:rsid w:val="41B8DB1D"/>
    <w:rsid w:val="41DD60A5"/>
    <w:rsid w:val="423DCD87"/>
    <w:rsid w:val="4250DDE6"/>
    <w:rsid w:val="4250FF9E"/>
    <w:rsid w:val="427248B8"/>
    <w:rsid w:val="42DDE1B9"/>
    <w:rsid w:val="42ED3039"/>
    <w:rsid w:val="4305C716"/>
    <w:rsid w:val="433E041D"/>
    <w:rsid w:val="435C0638"/>
    <w:rsid w:val="43BC0F50"/>
    <w:rsid w:val="43EE6078"/>
    <w:rsid w:val="43EEC989"/>
    <w:rsid w:val="443CEE4A"/>
    <w:rsid w:val="446C0169"/>
    <w:rsid w:val="448E9FF9"/>
    <w:rsid w:val="44E0F283"/>
    <w:rsid w:val="458EB2F6"/>
    <w:rsid w:val="46032FCD"/>
    <w:rsid w:val="4607D869"/>
    <w:rsid w:val="47C18E44"/>
    <w:rsid w:val="487C2EA5"/>
    <w:rsid w:val="48F9A29C"/>
    <w:rsid w:val="49062A6F"/>
    <w:rsid w:val="4954965C"/>
    <w:rsid w:val="498CD80F"/>
    <w:rsid w:val="4A122501"/>
    <w:rsid w:val="4A6F8E97"/>
    <w:rsid w:val="4AEFA95F"/>
    <w:rsid w:val="4B5287AB"/>
    <w:rsid w:val="4C1BFA6C"/>
    <w:rsid w:val="4C1D84C1"/>
    <w:rsid w:val="4C885FCC"/>
    <w:rsid w:val="4C8F11C2"/>
    <w:rsid w:val="4D4C2FB7"/>
    <w:rsid w:val="4D76AD2F"/>
    <w:rsid w:val="4DA46C28"/>
    <w:rsid w:val="4E4B3094"/>
    <w:rsid w:val="4E7A7BFD"/>
    <w:rsid w:val="4E93D951"/>
    <w:rsid w:val="4ED19180"/>
    <w:rsid w:val="4FE6034B"/>
    <w:rsid w:val="501301C5"/>
    <w:rsid w:val="50369EC4"/>
    <w:rsid w:val="50BED386"/>
    <w:rsid w:val="50D3CB6F"/>
    <w:rsid w:val="50EF4C06"/>
    <w:rsid w:val="521AB712"/>
    <w:rsid w:val="529E2FF6"/>
    <w:rsid w:val="52AD94F5"/>
    <w:rsid w:val="52B2ED13"/>
    <w:rsid w:val="52BAD358"/>
    <w:rsid w:val="53289A1A"/>
    <w:rsid w:val="539B9CF0"/>
    <w:rsid w:val="539E6EFA"/>
    <w:rsid w:val="53B380E3"/>
    <w:rsid w:val="53DB7CFA"/>
    <w:rsid w:val="53F5D48A"/>
    <w:rsid w:val="54D098B2"/>
    <w:rsid w:val="55186AB9"/>
    <w:rsid w:val="558BA578"/>
    <w:rsid w:val="5641EFCE"/>
    <w:rsid w:val="56EDE596"/>
    <w:rsid w:val="56F96DD2"/>
    <w:rsid w:val="576F2389"/>
    <w:rsid w:val="57802C6C"/>
    <w:rsid w:val="5794ECD2"/>
    <w:rsid w:val="57C6B0A1"/>
    <w:rsid w:val="57F8DBC1"/>
    <w:rsid w:val="58851FCD"/>
    <w:rsid w:val="58F6D99B"/>
    <w:rsid w:val="591C7E62"/>
    <w:rsid w:val="5977A80A"/>
    <w:rsid w:val="5A11DB24"/>
    <w:rsid w:val="5A940927"/>
    <w:rsid w:val="5AB740B1"/>
    <w:rsid w:val="5ACCE1DF"/>
    <w:rsid w:val="5B535D11"/>
    <w:rsid w:val="5B91C2F9"/>
    <w:rsid w:val="5BBE01A8"/>
    <w:rsid w:val="5BC0C93F"/>
    <w:rsid w:val="5BE07B76"/>
    <w:rsid w:val="5BF4A522"/>
    <w:rsid w:val="5C6CE6C4"/>
    <w:rsid w:val="5D0BD6BB"/>
    <w:rsid w:val="5D201DDE"/>
    <w:rsid w:val="5DA7E501"/>
    <w:rsid w:val="5DAFFE65"/>
    <w:rsid w:val="5E332120"/>
    <w:rsid w:val="5E4C47E0"/>
    <w:rsid w:val="5EB3CC0E"/>
    <w:rsid w:val="5F60F871"/>
    <w:rsid w:val="5F77CBA6"/>
    <w:rsid w:val="5FDA3CFE"/>
    <w:rsid w:val="5FF382E3"/>
    <w:rsid w:val="60619C81"/>
    <w:rsid w:val="615E651C"/>
    <w:rsid w:val="61924126"/>
    <w:rsid w:val="61AD4C94"/>
    <w:rsid w:val="625FA01D"/>
    <w:rsid w:val="6297D53F"/>
    <w:rsid w:val="62ADE7F8"/>
    <w:rsid w:val="632F043F"/>
    <w:rsid w:val="63AEC14D"/>
    <w:rsid w:val="63C43A6C"/>
    <w:rsid w:val="63D830AE"/>
    <w:rsid w:val="63E7BA34"/>
    <w:rsid w:val="64466B34"/>
    <w:rsid w:val="64DC7433"/>
    <w:rsid w:val="64E60B86"/>
    <w:rsid w:val="6509C4CD"/>
    <w:rsid w:val="65DC0863"/>
    <w:rsid w:val="65EE140F"/>
    <w:rsid w:val="6635E7E2"/>
    <w:rsid w:val="666E5424"/>
    <w:rsid w:val="6670F8B9"/>
    <w:rsid w:val="66817E6F"/>
    <w:rsid w:val="6740F11C"/>
    <w:rsid w:val="681DDF7F"/>
    <w:rsid w:val="684E0360"/>
    <w:rsid w:val="68703045"/>
    <w:rsid w:val="68944F04"/>
    <w:rsid w:val="68AF21E7"/>
    <w:rsid w:val="690597C4"/>
    <w:rsid w:val="69497641"/>
    <w:rsid w:val="69730327"/>
    <w:rsid w:val="6A14E264"/>
    <w:rsid w:val="6A35DF5B"/>
    <w:rsid w:val="6A5E6C30"/>
    <w:rsid w:val="6AD882C8"/>
    <w:rsid w:val="6AF91738"/>
    <w:rsid w:val="6B021871"/>
    <w:rsid w:val="6B1D62BB"/>
    <w:rsid w:val="6B25DE75"/>
    <w:rsid w:val="6B8FC121"/>
    <w:rsid w:val="6C256EE1"/>
    <w:rsid w:val="6CE24EA2"/>
    <w:rsid w:val="6CF9842C"/>
    <w:rsid w:val="6D6CBAA6"/>
    <w:rsid w:val="6D836AFB"/>
    <w:rsid w:val="6DC59A25"/>
    <w:rsid w:val="6DDBD920"/>
    <w:rsid w:val="6DE5A636"/>
    <w:rsid w:val="6DF9EC74"/>
    <w:rsid w:val="6E646C55"/>
    <w:rsid w:val="6E9D138B"/>
    <w:rsid w:val="6F154E25"/>
    <w:rsid w:val="6FC27AFA"/>
    <w:rsid w:val="6FF0FB67"/>
    <w:rsid w:val="6FF39D8E"/>
    <w:rsid w:val="7005AEC6"/>
    <w:rsid w:val="704E1DF4"/>
    <w:rsid w:val="712FE355"/>
    <w:rsid w:val="7160EB87"/>
    <w:rsid w:val="718D9970"/>
    <w:rsid w:val="71A42FA1"/>
    <w:rsid w:val="73085AC0"/>
    <w:rsid w:val="732F7944"/>
    <w:rsid w:val="735DFA1D"/>
    <w:rsid w:val="735ED2C8"/>
    <w:rsid w:val="7381FB59"/>
    <w:rsid w:val="738F10F6"/>
    <w:rsid w:val="7436D0D1"/>
    <w:rsid w:val="7472A89D"/>
    <w:rsid w:val="74C1556D"/>
    <w:rsid w:val="74E32D5A"/>
    <w:rsid w:val="7531D2AA"/>
    <w:rsid w:val="75B8C0A2"/>
    <w:rsid w:val="75D41BDE"/>
    <w:rsid w:val="763F9EF8"/>
    <w:rsid w:val="76651702"/>
    <w:rsid w:val="769C6A6E"/>
    <w:rsid w:val="76C8DB90"/>
    <w:rsid w:val="76F19282"/>
    <w:rsid w:val="778361E7"/>
    <w:rsid w:val="77E43D9A"/>
    <w:rsid w:val="788C1A04"/>
    <w:rsid w:val="789D493F"/>
    <w:rsid w:val="78A4BD0E"/>
    <w:rsid w:val="78BEC729"/>
    <w:rsid w:val="78C201F4"/>
    <w:rsid w:val="7900DF9B"/>
    <w:rsid w:val="7932B543"/>
    <w:rsid w:val="7952931F"/>
    <w:rsid w:val="79BD245A"/>
    <w:rsid w:val="79E2997C"/>
    <w:rsid w:val="7A09244E"/>
    <w:rsid w:val="7A42F98E"/>
    <w:rsid w:val="7A50672E"/>
    <w:rsid w:val="7AC2CE07"/>
    <w:rsid w:val="7B80B575"/>
    <w:rsid w:val="7BC77293"/>
    <w:rsid w:val="7C5BB81F"/>
    <w:rsid w:val="7C95DCD6"/>
    <w:rsid w:val="7CB0A021"/>
    <w:rsid w:val="7CEA08C6"/>
    <w:rsid w:val="7D1EBA5F"/>
    <w:rsid w:val="7D246514"/>
    <w:rsid w:val="7D98AE2F"/>
    <w:rsid w:val="7E30635E"/>
    <w:rsid w:val="7E88C3FA"/>
    <w:rsid w:val="7EC2342B"/>
    <w:rsid w:val="7EDA4F6F"/>
    <w:rsid w:val="7EE827AC"/>
    <w:rsid w:val="7EF33FA0"/>
    <w:rsid w:val="7F016004"/>
    <w:rsid w:val="7F0ECC73"/>
    <w:rsid w:val="7F126A63"/>
    <w:rsid w:val="7FDB5254"/>
    <w:rsid w:val="7FF8E8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FCDC65DA-0B3D-4F09-BAFE-6DC8CB813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eastAsia="Batang" w:ascii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00350B93"/>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uiPriority w:val="9"/>
    <w:unhideWhenUsed/>
    <w:qFormat/>
    <w:rsid w:val="00DA2A3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uiPriority w:val="9"/>
    <w:unhideWhenUsed/>
    <w:qFormat/>
    <w:rsid w:val="008852C5"/>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Table Normal"/>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hAnsi="Times New Roman" w:cs="Times New Roman" w:eastAsiaTheme="minorEastAsia"/>
      <w:sz w:val="24"/>
      <w:szCs w:val="24"/>
      <w:lang w:eastAsia="es-CO"/>
    </w:rPr>
  </w:style>
  <w:style w:type="table" w:styleId="TableGrid">
    <w:name w:val="Table Grid"/>
    <w:basedOn w:val="TableNormal"/>
    <w:uiPriority w:val="59"/>
    <w:rsid w:val="00BD58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003392"/>
    <w:pPr>
      <w:ind w:left="708"/>
    </w:pPr>
    <w:rPr>
      <w:rFonts w:ascii="Arial" w:hAnsi="Arial" w:eastAsia="Arial" w:cs="Times New Roman"/>
    </w:rPr>
  </w:style>
  <w:style w:type="paragraph" w:styleId="ListBullet2">
    <w:name w:val="List Bullet 2"/>
    <w:basedOn w:val="Normal"/>
    <w:uiPriority w:val="99"/>
    <w:unhideWhenUsed/>
    <w:rsid w:val="00350B93"/>
    <w:pPr>
      <w:numPr>
        <w:numId w:val="6"/>
      </w:numPr>
      <w:contextualSpacing/>
    </w:pPr>
  </w:style>
  <w:style w:type="character" w:styleId="Hyperlink">
    <w:name w:val="Hyperlink"/>
    <w:basedOn w:val="DefaultParagraphFont"/>
    <w:unhideWhenUsed/>
    <w:rsid w:val="00350B93"/>
    <w:rPr>
      <w:color w:val="0000FF" w:themeColor="hyperlink"/>
      <w:u w:val="single"/>
    </w:rPr>
  </w:style>
  <w:style w:type="paragraph" w:styleId="NoSpacing">
    <w:name w:val="No Spacing"/>
    <w:uiPriority w:val="1"/>
    <w:qFormat/>
    <w:rsid w:val="00DA2E79"/>
    <w:pPr>
      <w:spacing w:after="0" w:line="240" w:lineRule="auto"/>
    </w:pPr>
  </w:style>
  <w:style w:type="character" w:styleId="Mencinsinresolver1" w:customStyle="1">
    <w:name w:val="Mención sin resolver1"/>
    <w:basedOn w:val="DefaultParagraphFont"/>
    <w:uiPriority w:val="99"/>
    <w:semiHidden/>
    <w:unhideWhenUsed/>
    <w:rsid w:val="00E85E46"/>
    <w:rPr>
      <w:color w:val="605E5C"/>
      <w:shd w:val="clear" w:color="auto" w:fill="E1DFDD"/>
    </w:rPr>
  </w:style>
  <w:style w:type="character" w:styleId="Mencinsinresolver2" w:customStyle="1">
    <w:name w:val="Mención sin resolver2"/>
    <w:basedOn w:val="DefaultParagraphFont"/>
    <w:uiPriority w:val="99"/>
    <w:semiHidden/>
    <w:unhideWhenUsed/>
    <w:rsid w:val="008852C5"/>
    <w:rPr>
      <w:color w:val="605E5C"/>
      <w:shd w:val="clear" w:color="auto" w:fill="E1DFDD"/>
    </w:rPr>
  </w:style>
  <w:style w:type="table" w:styleId="Tablaconcuadrcula1" w:customStyle="1">
    <w:name w:val="Tabla con cuadrícula1"/>
    <w:basedOn w:val="TableNormal"/>
    <w:next w:val="TableGrid"/>
    <w:uiPriority w:val="59"/>
    <w:rsid w:val="000828FA"/>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2A731F"/>
    <w:pPr>
      <w:autoSpaceDE w:val="0"/>
      <w:autoSpaceDN w:val="0"/>
      <w:adjustRightInd w:val="0"/>
      <w:spacing w:after="0" w:line="240" w:lineRule="auto"/>
    </w:pPr>
    <w:rPr>
      <w:rFonts w:ascii="Arial" w:hAnsi="Arial" w:cs="Arial" w:eastAsiaTheme="minorHAnsi"/>
      <w:color w:val="000000"/>
      <w:sz w:val="24"/>
      <w:szCs w:val="24"/>
    </w:rPr>
  </w:style>
  <w:style w:type="paragraph" w:styleId="Direccindeldestinatario" w:customStyle="1">
    <w:name w:val="Dirección del destinatario"/>
    <w:basedOn w:val="Normal"/>
    <w:rsid w:val="00C65114"/>
    <w:pPr>
      <w:spacing w:after="0" w:line="240" w:lineRule="auto"/>
    </w:pPr>
    <w:rPr>
      <w:rFonts w:ascii="Times New Roman" w:hAnsi="Times New Roman" w:eastAsia="Times New Roman" w:cs="Times New Roman"/>
      <w:sz w:val="24"/>
      <w:szCs w:val="24"/>
      <w:lang w:val="en-US" w:bidi="en-US"/>
    </w:rPr>
  </w:style>
  <w:style w:type="character" w:styleId="FollowedHyperlink">
    <w:name w:val="FollowedHyperlink"/>
    <w:basedOn w:val="DefaultParagraphFont"/>
    <w:uiPriority w:val="99"/>
    <w:semiHidden/>
    <w:unhideWhenUsed/>
    <w:rsid w:val="00C65114"/>
    <w:rPr>
      <w:color w:val="800080" w:themeColor="followedHyperlink"/>
      <w:u w:val="single"/>
    </w:rPr>
  </w:style>
  <w:style w:type="character" w:styleId="EstiloTms2" w:customStyle="1">
    <w:name w:val="EstiloTms2"/>
    <w:rsid w:val="008228B5"/>
    <w:rPr>
      <w:rFonts w:ascii="Arial" w:hAnsi="Arial" w:cs="Arial"/>
      <w:sz w:val="14"/>
      <w:bdr w:val="none" w:color="auto" w:sz="0" w:space="0"/>
      <w:shd w:val="clear" w:color="auto" w:fill="auto"/>
      <w:lang w:val="es-CO"/>
    </w:rPr>
  </w:style>
  <w:style w:type="character" w:styleId="Emphasis">
    <w:name w:val="Emphasis"/>
    <w:qFormat/>
    <w:rsid w:val="008228B5"/>
    <w:rPr>
      <w:i/>
      <w:iCs/>
    </w:rPr>
  </w:style>
  <w:style w:type="character" w:styleId="Strong">
    <w:name w:val="Strong"/>
    <w:basedOn w:val="DefaultParagraphFont"/>
    <w:uiPriority w:val="22"/>
    <w:qFormat/>
    <w:rsid w:val="003D4CB9"/>
    <w:rPr>
      <w:b/>
      <w:bCs/>
    </w:rPr>
  </w:style>
  <w:style w:type="character" w:styleId="normaltextrun" w:customStyle="1">
    <w:name w:val="normaltextrun"/>
    <w:basedOn w:val="DefaultParagraphFont"/>
    <w:rsid w:val="002937F7"/>
  </w:style>
  <w:style w:type="character" w:styleId="eop" w:customStyle="1">
    <w:name w:val="eop"/>
    <w:basedOn w:val="DefaultParagraphFont"/>
    <w:rsid w:val="002937F7"/>
  </w:style>
  <w:style w:type="paragraph" w:styleId="Revision">
    <w:name w:val="Revision"/>
    <w:hidden/>
    <w:uiPriority w:val="99"/>
    <w:semiHidden/>
    <w:rsid w:val="0070210F"/>
    <w:pPr>
      <w:spacing w:after="0" w:line="240" w:lineRule="auto"/>
    </w:pPr>
  </w:style>
  <w:style w:type="character" w:styleId="CommentReference">
    <w:name w:val="Comment Reference"/>
    <w:basedOn w:val="DefaultParagraphFont"/>
    <w:uiPriority w:val="99"/>
    <w:semiHidden/>
    <w:unhideWhenUsed/>
    <w:rsid w:val="009C66CE"/>
    <w:rPr>
      <w:sz w:val="16"/>
      <w:szCs w:val="16"/>
    </w:rPr>
  </w:style>
  <w:style w:type="character" w:styleId="UnresolvedMention">
    <w:name w:val="Unresolved Mention"/>
    <w:basedOn w:val="DefaultParagraphFont"/>
    <w:uiPriority w:val="99"/>
    <w:semiHidden/>
    <w:unhideWhenUsed/>
    <w:rsid w:val="00C0476D"/>
    <w:rPr>
      <w:color w:val="605E5C"/>
      <w:shd w:val="clear" w:color="auto" w:fill="E1DFDD"/>
    </w:rPr>
  </w:style>
  <w:style w:type="character" w:styleId="EncabezadoCar" w:customStyle="1">
    <w:name w:val="Encabezado Car"/>
    <w:basedOn w:val="DefaultParagraphFont"/>
    <w:uiPriority w:val="99"/>
    <w:rsid w:val="002D6B61"/>
  </w:style>
  <w:style w:type="character" w:styleId="PiedepginaCar" w:customStyle="1">
    <w:name w:val="Pie de página Car"/>
    <w:basedOn w:val="DefaultParagraphFont"/>
    <w:uiPriority w:val="99"/>
    <w:rsid w:val="002D6B61"/>
  </w:style>
  <w:style w:type="character" w:styleId="TextodegloboCar" w:customStyle="1">
    <w:name w:val="Texto de globo Car"/>
    <w:basedOn w:val="DefaultParagraphFont"/>
    <w:uiPriority w:val="99"/>
    <w:semiHidden/>
    <w:rsid w:val="002D6B61"/>
    <w:rPr>
      <w:rFonts w:ascii="Tahoma" w:hAnsi="Tahoma" w:cs="Tahoma"/>
      <w:sz w:val="16"/>
      <w:szCs w:val="16"/>
    </w:rPr>
  </w:style>
  <w:style w:type="character" w:styleId="TtuloCar" w:customStyle="1">
    <w:name w:val="Título Car"/>
    <w:basedOn w:val="DefaultParagraphFont"/>
    <w:uiPriority w:val="10"/>
    <w:rsid w:val="002D6B61"/>
    <w:rPr>
      <w:rFonts w:asciiTheme="majorHAnsi" w:hAnsiTheme="majorHAnsi" w:eastAsiaTheme="majorEastAsia" w:cstheme="majorBidi"/>
      <w:color w:val="17365D" w:themeColor="text2" w:themeShade="BF"/>
      <w:spacing w:val="5"/>
      <w:kern w:val="28"/>
      <w:sz w:val="52"/>
      <w:szCs w:val="52"/>
    </w:rPr>
  </w:style>
  <w:style w:type="character" w:styleId="TextoindependienteCar" w:customStyle="1">
    <w:name w:val="Texto independiente Car"/>
    <w:basedOn w:val="DefaultParagraphFont"/>
    <w:rsid w:val="002D6B61"/>
    <w:rPr>
      <w:rFonts w:ascii="Arial" w:hAnsi="Arial" w:eastAsia="Times New Roman" w:cs="Times New Roman"/>
      <w:sz w:val="24"/>
      <w:szCs w:val="20"/>
      <w:lang w:val="es-ES_tradnl" w:eastAsia="es-ES"/>
    </w:rPr>
  </w:style>
  <w:style w:type="character" w:styleId="Ttulo1Car" w:customStyle="1">
    <w:name w:val="Título 1 Car"/>
    <w:basedOn w:val="DefaultParagraphFont"/>
    <w:uiPriority w:val="9"/>
    <w:rsid w:val="002D6B61"/>
    <w:rPr>
      <w:rFonts w:asciiTheme="majorHAnsi" w:hAnsiTheme="majorHAnsi" w:eastAsiaTheme="majorEastAsia" w:cstheme="majorBidi"/>
      <w:color w:val="365F91" w:themeColor="accent1" w:themeShade="BF"/>
      <w:sz w:val="32"/>
      <w:szCs w:val="32"/>
    </w:rPr>
  </w:style>
  <w:style w:type="character" w:styleId="FirmaCar" w:customStyle="1">
    <w:name w:val="Firma Car"/>
    <w:basedOn w:val="DefaultParagraphFont"/>
    <w:uiPriority w:val="99"/>
    <w:rsid w:val="002D6B61"/>
  </w:style>
  <w:style w:type="character" w:styleId="SangradetextonormalCar" w:customStyle="1">
    <w:name w:val="Sangría de texto normal Car"/>
    <w:basedOn w:val="DefaultParagraphFont"/>
    <w:uiPriority w:val="99"/>
    <w:rsid w:val="002D6B61"/>
  </w:style>
  <w:style w:type="character" w:styleId="TextoindependienteprimerasangraCar" w:customStyle="1">
    <w:name w:val="Texto independiente primera sangría Car"/>
    <w:basedOn w:val="TextoindependienteCar"/>
    <w:uiPriority w:val="99"/>
    <w:rsid w:val="002D6B61"/>
    <w:rPr>
      <w:rFonts w:ascii="Arial" w:hAnsi="Arial" w:eastAsia="Times New Roman" w:cs="Times New Roman"/>
      <w:sz w:val="24"/>
      <w:szCs w:val="20"/>
      <w:lang w:val="es-ES_tradnl" w:eastAsia="es-ES"/>
    </w:rPr>
  </w:style>
  <w:style w:type="character" w:styleId="Textoindependienteprimerasangra2Car" w:customStyle="1">
    <w:name w:val="Texto independiente primera sangría 2 Car"/>
    <w:basedOn w:val="SangradetextonormalCar"/>
    <w:uiPriority w:val="99"/>
    <w:rsid w:val="002D6B61"/>
  </w:style>
  <w:style w:type="character" w:styleId="Ttulo2Car" w:customStyle="1">
    <w:name w:val="Título 2 Car"/>
    <w:basedOn w:val="DefaultParagraphFont"/>
    <w:uiPriority w:val="9"/>
    <w:rsid w:val="002D6B61"/>
    <w:rPr>
      <w:rFonts w:asciiTheme="majorHAnsi" w:hAnsiTheme="majorHAnsi" w:eastAsiaTheme="majorEastAsia" w:cstheme="majorBidi"/>
      <w:color w:val="365F91" w:themeColor="accent1" w:themeShade="BF"/>
      <w:sz w:val="26"/>
      <w:szCs w:val="26"/>
    </w:rPr>
  </w:style>
  <w:style w:type="character" w:styleId="HTMLconformatoprevioCar" w:customStyle="1">
    <w:name w:val="HTML con formato previo Car"/>
    <w:basedOn w:val="DefaultParagraphFont"/>
    <w:uiPriority w:val="99"/>
    <w:semiHidden/>
    <w:rsid w:val="002D6B61"/>
    <w:rPr>
      <w:rFonts w:ascii="Courier New" w:hAnsi="Courier New" w:eastAsia="Times New Roman" w:cs="Courier New"/>
      <w:sz w:val="20"/>
      <w:szCs w:val="20"/>
      <w:lang w:eastAsia="es-CO"/>
    </w:rPr>
  </w:style>
  <w:style w:type="character" w:styleId="Ttulo3Car" w:customStyle="1">
    <w:name w:val="Título 3 Car"/>
    <w:basedOn w:val="DefaultParagraphFont"/>
    <w:uiPriority w:val="9"/>
    <w:rsid w:val="002D6B61"/>
    <w:rPr>
      <w:rFonts w:asciiTheme="majorHAnsi" w:hAnsiTheme="majorHAnsi" w:eastAsiaTheme="majorEastAsia" w:cstheme="majorBidi"/>
      <w:color w:val="243F60" w:themeColor="accent1" w:themeShade="7F"/>
      <w:sz w:val="24"/>
      <w:szCs w:val="24"/>
    </w:rPr>
  </w:style>
  <w:style w:type="character" w:styleId="TextocomentarioCar" w:customStyle="1">
    <w:name w:val="Texto comentario Car"/>
    <w:basedOn w:val="DefaultParagraphFont"/>
    <w:uiPriority w:val="99"/>
    <w:semiHidden/>
    <w:rsid w:val="002D6B61"/>
    <w:rPr>
      <w:sz w:val="20"/>
      <w:szCs w:val="20"/>
    </w:rPr>
  </w:style>
  <w:style w:type="character" w:styleId="AsuntodelcomentarioCar" w:customStyle="1">
    <w:name w:val="Asunto del comentario Car"/>
    <w:basedOn w:val="TextocomentarioCar"/>
    <w:uiPriority w:val="99"/>
    <w:semiHidden/>
    <w:rsid w:val="002D6B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357">
      <w:bodyDiv w:val="1"/>
      <w:marLeft w:val="0"/>
      <w:marRight w:val="0"/>
      <w:marTop w:val="0"/>
      <w:marBottom w:val="0"/>
      <w:divBdr>
        <w:top w:val="none" w:sz="0" w:space="0" w:color="auto"/>
        <w:left w:val="none" w:sz="0" w:space="0" w:color="auto"/>
        <w:bottom w:val="none" w:sz="0" w:space="0" w:color="auto"/>
        <w:right w:val="none" w:sz="0" w:space="0" w:color="auto"/>
      </w:divBdr>
    </w:div>
    <w:div w:id="5136982">
      <w:bodyDiv w:val="1"/>
      <w:marLeft w:val="0"/>
      <w:marRight w:val="0"/>
      <w:marTop w:val="0"/>
      <w:marBottom w:val="0"/>
      <w:divBdr>
        <w:top w:val="none" w:sz="0" w:space="0" w:color="auto"/>
        <w:left w:val="none" w:sz="0" w:space="0" w:color="auto"/>
        <w:bottom w:val="none" w:sz="0" w:space="0" w:color="auto"/>
        <w:right w:val="none" w:sz="0" w:space="0" w:color="auto"/>
      </w:divBdr>
    </w:div>
    <w:div w:id="194001263">
      <w:bodyDiv w:val="1"/>
      <w:marLeft w:val="0"/>
      <w:marRight w:val="0"/>
      <w:marTop w:val="0"/>
      <w:marBottom w:val="0"/>
      <w:divBdr>
        <w:top w:val="none" w:sz="0" w:space="0" w:color="auto"/>
        <w:left w:val="none" w:sz="0" w:space="0" w:color="auto"/>
        <w:bottom w:val="none" w:sz="0" w:space="0" w:color="auto"/>
        <w:right w:val="none" w:sz="0" w:space="0" w:color="auto"/>
      </w:divBdr>
    </w:div>
    <w:div w:id="194588155">
      <w:bodyDiv w:val="1"/>
      <w:marLeft w:val="0"/>
      <w:marRight w:val="0"/>
      <w:marTop w:val="0"/>
      <w:marBottom w:val="0"/>
      <w:divBdr>
        <w:top w:val="none" w:sz="0" w:space="0" w:color="auto"/>
        <w:left w:val="none" w:sz="0" w:space="0" w:color="auto"/>
        <w:bottom w:val="none" w:sz="0" w:space="0" w:color="auto"/>
        <w:right w:val="none" w:sz="0" w:space="0" w:color="auto"/>
      </w:divBdr>
    </w:div>
    <w:div w:id="235094183">
      <w:bodyDiv w:val="1"/>
      <w:marLeft w:val="0"/>
      <w:marRight w:val="0"/>
      <w:marTop w:val="0"/>
      <w:marBottom w:val="0"/>
      <w:divBdr>
        <w:top w:val="none" w:sz="0" w:space="0" w:color="auto"/>
        <w:left w:val="none" w:sz="0" w:space="0" w:color="auto"/>
        <w:bottom w:val="none" w:sz="0" w:space="0" w:color="auto"/>
        <w:right w:val="none" w:sz="0" w:space="0" w:color="auto"/>
      </w:divBdr>
      <w:divsChild>
        <w:div w:id="655377830">
          <w:marLeft w:val="0"/>
          <w:marRight w:val="0"/>
          <w:marTop w:val="0"/>
          <w:marBottom w:val="0"/>
          <w:divBdr>
            <w:top w:val="none" w:sz="0" w:space="0" w:color="auto"/>
            <w:left w:val="none" w:sz="0" w:space="0" w:color="auto"/>
            <w:bottom w:val="none" w:sz="0" w:space="0" w:color="auto"/>
            <w:right w:val="none" w:sz="0" w:space="0" w:color="auto"/>
          </w:divBdr>
          <w:divsChild>
            <w:div w:id="1965193879">
              <w:marLeft w:val="0"/>
              <w:marRight w:val="0"/>
              <w:marTop w:val="0"/>
              <w:marBottom w:val="0"/>
              <w:divBdr>
                <w:top w:val="none" w:sz="0" w:space="0" w:color="auto"/>
                <w:left w:val="none" w:sz="0" w:space="0" w:color="auto"/>
                <w:bottom w:val="none" w:sz="0" w:space="0" w:color="auto"/>
                <w:right w:val="none" w:sz="0" w:space="0" w:color="auto"/>
              </w:divBdr>
              <w:divsChild>
                <w:div w:id="1176848174">
                  <w:marLeft w:val="0"/>
                  <w:marRight w:val="0"/>
                  <w:marTop w:val="0"/>
                  <w:marBottom w:val="0"/>
                  <w:divBdr>
                    <w:top w:val="none" w:sz="0" w:space="0" w:color="auto"/>
                    <w:left w:val="none" w:sz="0" w:space="0" w:color="auto"/>
                    <w:bottom w:val="none" w:sz="0" w:space="0" w:color="auto"/>
                    <w:right w:val="none" w:sz="0" w:space="0" w:color="auto"/>
                  </w:divBdr>
                  <w:divsChild>
                    <w:div w:id="1628003463">
                      <w:marLeft w:val="0"/>
                      <w:marRight w:val="0"/>
                      <w:marTop w:val="0"/>
                      <w:marBottom w:val="0"/>
                      <w:divBdr>
                        <w:top w:val="none" w:sz="0" w:space="0" w:color="auto"/>
                        <w:left w:val="none" w:sz="0" w:space="0" w:color="auto"/>
                        <w:bottom w:val="none" w:sz="0" w:space="0" w:color="auto"/>
                        <w:right w:val="none" w:sz="0" w:space="0" w:color="auto"/>
                      </w:divBdr>
                      <w:divsChild>
                        <w:div w:id="971716965">
                          <w:marLeft w:val="0"/>
                          <w:marRight w:val="0"/>
                          <w:marTop w:val="0"/>
                          <w:marBottom w:val="0"/>
                          <w:divBdr>
                            <w:top w:val="none" w:sz="0" w:space="0" w:color="auto"/>
                            <w:left w:val="none" w:sz="0" w:space="0" w:color="auto"/>
                            <w:bottom w:val="none" w:sz="0" w:space="0" w:color="auto"/>
                            <w:right w:val="none" w:sz="0" w:space="0" w:color="auto"/>
                          </w:divBdr>
                          <w:divsChild>
                            <w:div w:id="78254112">
                              <w:marLeft w:val="2250"/>
                              <w:marRight w:val="0"/>
                              <w:marTop w:val="0"/>
                              <w:marBottom w:val="0"/>
                              <w:divBdr>
                                <w:top w:val="none" w:sz="0" w:space="0" w:color="auto"/>
                                <w:left w:val="none" w:sz="0" w:space="0" w:color="auto"/>
                                <w:bottom w:val="none" w:sz="0" w:space="0" w:color="auto"/>
                                <w:right w:val="none" w:sz="0" w:space="0" w:color="auto"/>
                              </w:divBdr>
                              <w:divsChild>
                                <w:div w:id="1485855694">
                                  <w:marLeft w:val="0"/>
                                  <w:marRight w:val="0"/>
                                  <w:marTop w:val="0"/>
                                  <w:marBottom w:val="0"/>
                                  <w:divBdr>
                                    <w:top w:val="none" w:sz="0" w:space="0" w:color="auto"/>
                                    <w:left w:val="none" w:sz="0" w:space="0" w:color="auto"/>
                                    <w:bottom w:val="none" w:sz="0" w:space="0" w:color="auto"/>
                                    <w:right w:val="none" w:sz="0" w:space="0" w:color="auto"/>
                                  </w:divBdr>
                                  <w:divsChild>
                                    <w:div w:id="214330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4599561">
                  <w:marLeft w:val="0"/>
                  <w:marRight w:val="0"/>
                  <w:marTop w:val="0"/>
                  <w:marBottom w:val="0"/>
                  <w:divBdr>
                    <w:top w:val="none" w:sz="0" w:space="0" w:color="auto"/>
                    <w:left w:val="none" w:sz="0" w:space="0" w:color="auto"/>
                    <w:bottom w:val="none" w:sz="0" w:space="0" w:color="auto"/>
                    <w:right w:val="none" w:sz="0" w:space="0" w:color="auto"/>
                  </w:divBdr>
                  <w:divsChild>
                    <w:div w:id="485126191">
                      <w:marLeft w:val="0"/>
                      <w:marRight w:val="0"/>
                      <w:marTop w:val="0"/>
                      <w:marBottom w:val="0"/>
                      <w:divBdr>
                        <w:top w:val="none" w:sz="0" w:space="0" w:color="auto"/>
                        <w:left w:val="none" w:sz="0" w:space="0" w:color="auto"/>
                        <w:bottom w:val="none" w:sz="0" w:space="0" w:color="auto"/>
                        <w:right w:val="none" w:sz="0" w:space="0" w:color="auto"/>
                      </w:divBdr>
                      <w:divsChild>
                        <w:div w:id="420562206">
                          <w:marLeft w:val="0"/>
                          <w:marRight w:val="0"/>
                          <w:marTop w:val="0"/>
                          <w:marBottom w:val="0"/>
                          <w:divBdr>
                            <w:top w:val="none" w:sz="0" w:space="0" w:color="auto"/>
                            <w:left w:val="none" w:sz="0" w:space="0" w:color="auto"/>
                            <w:bottom w:val="single" w:sz="6" w:space="0" w:color="EBEBEB"/>
                            <w:right w:val="none" w:sz="0" w:space="0" w:color="auto"/>
                          </w:divBdr>
                          <w:divsChild>
                            <w:div w:id="1409499575">
                              <w:marLeft w:val="0"/>
                              <w:marRight w:val="0"/>
                              <w:marTop w:val="0"/>
                              <w:marBottom w:val="0"/>
                              <w:divBdr>
                                <w:top w:val="none" w:sz="0" w:space="0" w:color="auto"/>
                                <w:left w:val="none" w:sz="0" w:space="0" w:color="auto"/>
                                <w:bottom w:val="none" w:sz="0" w:space="0" w:color="auto"/>
                                <w:right w:val="none" w:sz="0" w:space="0" w:color="auto"/>
                              </w:divBdr>
                              <w:divsChild>
                                <w:div w:id="841774667">
                                  <w:marLeft w:val="0"/>
                                  <w:marRight w:val="0"/>
                                  <w:marTop w:val="0"/>
                                  <w:marBottom w:val="0"/>
                                  <w:divBdr>
                                    <w:top w:val="none" w:sz="0" w:space="0" w:color="auto"/>
                                    <w:left w:val="none" w:sz="0" w:space="0" w:color="auto"/>
                                    <w:bottom w:val="none" w:sz="0" w:space="0" w:color="auto"/>
                                    <w:right w:val="none" w:sz="0" w:space="0" w:color="auto"/>
                                  </w:divBdr>
                                  <w:divsChild>
                                    <w:div w:id="623804018">
                                      <w:marLeft w:val="0"/>
                                      <w:marRight w:val="0"/>
                                      <w:marTop w:val="0"/>
                                      <w:marBottom w:val="0"/>
                                      <w:divBdr>
                                        <w:top w:val="none" w:sz="0" w:space="0" w:color="auto"/>
                                        <w:left w:val="none" w:sz="0" w:space="0" w:color="auto"/>
                                        <w:bottom w:val="none" w:sz="0" w:space="0" w:color="auto"/>
                                        <w:right w:val="none" w:sz="0" w:space="0" w:color="auto"/>
                                      </w:divBdr>
                                      <w:divsChild>
                                        <w:div w:id="660084361">
                                          <w:marLeft w:val="0"/>
                                          <w:marRight w:val="0"/>
                                          <w:marTop w:val="0"/>
                                          <w:marBottom w:val="0"/>
                                          <w:divBdr>
                                            <w:top w:val="none" w:sz="0" w:space="0" w:color="auto"/>
                                            <w:left w:val="none" w:sz="0" w:space="0" w:color="auto"/>
                                            <w:bottom w:val="none" w:sz="0" w:space="0" w:color="auto"/>
                                            <w:right w:val="none" w:sz="0" w:space="0" w:color="auto"/>
                                          </w:divBdr>
                                        </w:div>
                                        <w:div w:id="1840463167">
                                          <w:marLeft w:val="0"/>
                                          <w:marRight w:val="0"/>
                                          <w:marTop w:val="0"/>
                                          <w:marBottom w:val="0"/>
                                          <w:divBdr>
                                            <w:top w:val="none" w:sz="0" w:space="0" w:color="auto"/>
                                            <w:left w:val="none" w:sz="0" w:space="0" w:color="auto"/>
                                            <w:bottom w:val="none" w:sz="0" w:space="0" w:color="auto"/>
                                            <w:right w:val="none" w:sz="0" w:space="0" w:color="auto"/>
                                          </w:divBdr>
                                          <w:divsChild>
                                            <w:div w:id="45839438">
                                              <w:marLeft w:val="2325"/>
                                              <w:marRight w:val="0"/>
                                              <w:marTop w:val="0"/>
                                              <w:marBottom w:val="0"/>
                                              <w:divBdr>
                                                <w:top w:val="none" w:sz="0" w:space="0" w:color="auto"/>
                                                <w:left w:val="none" w:sz="0" w:space="0" w:color="auto"/>
                                                <w:bottom w:val="none" w:sz="0" w:space="0" w:color="auto"/>
                                                <w:right w:val="none" w:sz="0" w:space="0" w:color="auto"/>
                                              </w:divBdr>
                                              <w:divsChild>
                                                <w:div w:id="77603970">
                                                  <w:marLeft w:val="15"/>
                                                  <w:marRight w:val="15"/>
                                                  <w:marTop w:val="165"/>
                                                  <w:marBottom w:val="0"/>
                                                  <w:divBdr>
                                                    <w:top w:val="none" w:sz="0" w:space="0" w:color="auto"/>
                                                    <w:left w:val="none" w:sz="0" w:space="0" w:color="auto"/>
                                                    <w:bottom w:val="single" w:sz="18" w:space="9" w:color="1A73E8"/>
                                                    <w:right w:val="none" w:sz="0" w:space="0" w:color="auto"/>
                                                  </w:divBdr>
                                                </w:div>
                                                <w:div w:id="498035032">
                                                  <w:marLeft w:val="15"/>
                                                  <w:marRight w:val="15"/>
                                                  <w:marTop w:val="165"/>
                                                  <w:marBottom w:val="0"/>
                                                  <w:divBdr>
                                                    <w:top w:val="none" w:sz="0" w:space="0" w:color="auto"/>
                                                    <w:left w:val="none" w:sz="0" w:space="0" w:color="auto"/>
                                                    <w:bottom w:val="none" w:sz="0" w:space="0" w:color="auto"/>
                                                    <w:right w:val="none" w:sz="0" w:space="0" w:color="auto"/>
                                                  </w:divBdr>
                                                </w:div>
                                                <w:div w:id="504898365">
                                                  <w:marLeft w:val="15"/>
                                                  <w:marRight w:val="15"/>
                                                  <w:marTop w:val="165"/>
                                                  <w:marBottom w:val="0"/>
                                                  <w:divBdr>
                                                    <w:top w:val="none" w:sz="0" w:space="0" w:color="auto"/>
                                                    <w:left w:val="none" w:sz="0" w:space="0" w:color="auto"/>
                                                    <w:bottom w:val="none" w:sz="0" w:space="0" w:color="auto"/>
                                                    <w:right w:val="none" w:sz="0" w:space="0" w:color="auto"/>
                                                  </w:divBdr>
                                                </w:div>
                                                <w:div w:id="1323778330">
                                                  <w:marLeft w:val="15"/>
                                                  <w:marRight w:val="15"/>
                                                  <w:marTop w:val="165"/>
                                                  <w:marBottom w:val="0"/>
                                                  <w:divBdr>
                                                    <w:top w:val="none" w:sz="0" w:space="0" w:color="auto"/>
                                                    <w:left w:val="none" w:sz="0" w:space="0" w:color="auto"/>
                                                    <w:bottom w:val="none" w:sz="0" w:space="0" w:color="auto"/>
                                                    <w:right w:val="none" w:sz="0" w:space="0" w:color="auto"/>
                                                  </w:divBdr>
                                                </w:div>
                                                <w:div w:id="1704090142">
                                                  <w:marLeft w:val="15"/>
                                                  <w:marRight w:val="15"/>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9336996">
                  <w:marLeft w:val="0"/>
                  <w:marRight w:val="0"/>
                  <w:marTop w:val="0"/>
                  <w:marBottom w:val="0"/>
                  <w:divBdr>
                    <w:top w:val="none" w:sz="0" w:space="0" w:color="auto"/>
                    <w:left w:val="none" w:sz="0" w:space="0" w:color="auto"/>
                    <w:bottom w:val="none" w:sz="0" w:space="0" w:color="auto"/>
                    <w:right w:val="none" w:sz="0" w:space="0" w:color="auto"/>
                  </w:divBdr>
                  <w:divsChild>
                    <w:div w:id="758336273">
                      <w:marLeft w:val="0"/>
                      <w:marRight w:val="0"/>
                      <w:marTop w:val="0"/>
                      <w:marBottom w:val="0"/>
                      <w:divBdr>
                        <w:top w:val="none" w:sz="0" w:space="0" w:color="auto"/>
                        <w:left w:val="none" w:sz="0" w:space="0" w:color="auto"/>
                        <w:bottom w:val="none" w:sz="0" w:space="0" w:color="auto"/>
                        <w:right w:val="none" w:sz="0" w:space="0" w:color="auto"/>
                      </w:divBdr>
                      <w:divsChild>
                        <w:div w:id="1152674888">
                          <w:marLeft w:val="0"/>
                          <w:marRight w:val="0"/>
                          <w:marTop w:val="0"/>
                          <w:marBottom w:val="0"/>
                          <w:divBdr>
                            <w:top w:val="none" w:sz="0" w:space="0" w:color="auto"/>
                            <w:left w:val="none" w:sz="0" w:space="0" w:color="auto"/>
                            <w:bottom w:val="none" w:sz="0" w:space="0" w:color="auto"/>
                            <w:right w:val="none" w:sz="0" w:space="0" w:color="auto"/>
                          </w:divBdr>
                          <w:divsChild>
                            <w:div w:id="1627347562">
                              <w:marLeft w:val="2250"/>
                              <w:marRight w:val="3960"/>
                              <w:marTop w:val="0"/>
                              <w:marBottom w:val="0"/>
                              <w:divBdr>
                                <w:top w:val="none" w:sz="0" w:space="0" w:color="auto"/>
                                <w:left w:val="none" w:sz="0" w:space="0" w:color="auto"/>
                                <w:bottom w:val="none" w:sz="0" w:space="0" w:color="auto"/>
                                <w:right w:val="none" w:sz="0" w:space="0" w:color="auto"/>
                              </w:divBdr>
                              <w:divsChild>
                                <w:div w:id="1297372054">
                                  <w:marLeft w:val="0"/>
                                  <w:marRight w:val="0"/>
                                  <w:marTop w:val="0"/>
                                  <w:marBottom w:val="0"/>
                                  <w:divBdr>
                                    <w:top w:val="none" w:sz="0" w:space="0" w:color="auto"/>
                                    <w:left w:val="none" w:sz="0" w:space="0" w:color="auto"/>
                                    <w:bottom w:val="none" w:sz="0" w:space="0" w:color="auto"/>
                                    <w:right w:val="none" w:sz="0" w:space="0" w:color="auto"/>
                                  </w:divBdr>
                                  <w:divsChild>
                                    <w:div w:id="1616983596">
                                      <w:marLeft w:val="0"/>
                                      <w:marRight w:val="0"/>
                                      <w:marTop w:val="0"/>
                                      <w:marBottom w:val="0"/>
                                      <w:divBdr>
                                        <w:top w:val="none" w:sz="0" w:space="0" w:color="auto"/>
                                        <w:left w:val="none" w:sz="0" w:space="0" w:color="auto"/>
                                        <w:bottom w:val="none" w:sz="0" w:space="0" w:color="auto"/>
                                        <w:right w:val="none" w:sz="0" w:space="0" w:color="auto"/>
                                      </w:divBdr>
                                      <w:divsChild>
                                        <w:div w:id="107744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006816">
                                  <w:marLeft w:val="0"/>
                                  <w:marRight w:val="0"/>
                                  <w:marTop w:val="0"/>
                                  <w:marBottom w:val="0"/>
                                  <w:divBdr>
                                    <w:top w:val="none" w:sz="0" w:space="0" w:color="auto"/>
                                    <w:left w:val="none" w:sz="0" w:space="0" w:color="auto"/>
                                    <w:bottom w:val="none" w:sz="0" w:space="0" w:color="auto"/>
                                    <w:right w:val="none" w:sz="0" w:space="0" w:color="auto"/>
                                  </w:divBdr>
                                  <w:divsChild>
                                    <w:div w:id="999046424">
                                      <w:marLeft w:val="0"/>
                                      <w:marRight w:val="0"/>
                                      <w:marTop w:val="0"/>
                                      <w:marBottom w:val="0"/>
                                      <w:divBdr>
                                        <w:top w:val="none" w:sz="0" w:space="0" w:color="auto"/>
                                        <w:left w:val="none" w:sz="0" w:space="0" w:color="auto"/>
                                        <w:bottom w:val="none" w:sz="0" w:space="0" w:color="auto"/>
                                        <w:right w:val="none" w:sz="0" w:space="0" w:color="auto"/>
                                      </w:divBdr>
                                      <w:divsChild>
                                        <w:div w:id="11995558">
                                          <w:marLeft w:val="0"/>
                                          <w:marRight w:val="0"/>
                                          <w:marTop w:val="0"/>
                                          <w:marBottom w:val="0"/>
                                          <w:divBdr>
                                            <w:top w:val="none" w:sz="0" w:space="0" w:color="auto"/>
                                            <w:left w:val="none" w:sz="0" w:space="0" w:color="auto"/>
                                            <w:bottom w:val="none" w:sz="0" w:space="0" w:color="auto"/>
                                            <w:right w:val="none" w:sz="0" w:space="0" w:color="auto"/>
                                          </w:divBdr>
                                          <w:divsChild>
                                            <w:div w:id="509491157">
                                              <w:marLeft w:val="0"/>
                                              <w:marRight w:val="0"/>
                                              <w:marTop w:val="90"/>
                                              <w:marBottom w:val="0"/>
                                              <w:divBdr>
                                                <w:top w:val="none" w:sz="0" w:space="0" w:color="auto"/>
                                                <w:left w:val="none" w:sz="0" w:space="0" w:color="auto"/>
                                                <w:bottom w:val="none" w:sz="0" w:space="0" w:color="auto"/>
                                                <w:right w:val="none" w:sz="0" w:space="0" w:color="auto"/>
                                              </w:divBdr>
                                              <w:divsChild>
                                                <w:div w:id="773012595">
                                                  <w:marLeft w:val="0"/>
                                                  <w:marRight w:val="0"/>
                                                  <w:marTop w:val="0"/>
                                                  <w:marBottom w:val="0"/>
                                                  <w:divBdr>
                                                    <w:top w:val="none" w:sz="0" w:space="0" w:color="auto"/>
                                                    <w:left w:val="none" w:sz="0" w:space="0" w:color="auto"/>
                                                    <w:bottom w:val="none" w:sz="0" w:space="0" w:color="auto"/>
                                                    <w:right w:val="none" w:sz="0" w:space="0" w:color="auto"/>
                                                  </w:divBdr>
                                                  <w:divsChild>
                                                    <w:div w:id="789975012">
                                                      <w:marLeft w:val="0"/>
                                                      <w:marRight w:val="0"/>
                                                      <w:marTop w:val="0"/>
                                                      <w:marBottom w:val="405"/>
                                                      <w:divBdr>
                                                        <w:top w:val="none" w:sz="0" w:space="0" w:color="auto"/>
                                                        <w:left w:val="none" w:sz="0" w:space="0" w:color="auto"/>
                                                        <w:bottom w:val="none" w:sz="0" w:space="0" w:color="auto"/>
                                                        <w:right w:val="none" w:sz="0" w:space="0" w:color="auto"/>
                                                      </w:divBdr>
                                                      <w:divsChild>
                                                        <w:div w:id="1701004834">
                                                          <w:marLeft w:val="0"/>
                                                          <w:marRight w:val="0"/>
                                                          <w:marTop w:val="0"/>
                                                          <w:marBottom w:val="0"/>
                                                          <w:divBdr>
                                                            <w:top w:val="none" w:sz="0" w:space="0" w:color="auto"/>
                                                            <w:left w:val="none" w:sz="0" w:space="0" w:color="auto"/>
                                                            <w:bottom w:val="none" w:sz="0" w:space="0" w:color="auto"/>
                                                            <w:right w:val="none" w:sz="0" w:space="0" w:color="auto"/>
                                                          </w:divBdr>
                                                          <w:divsChild>
                                                            <w:div w:id="931276498">
                                                              <w:marLeft w:val="-240"/>
                                                              <w:marRight w:val="-240"/>
                                                              <w:marTop w:val="0"/>
                                                              <w:marBottom w:val="0"/>
                                                              <w:divBdr>
                                                                <w:top w:val="single" w:sz="6" w:space="0" w:color="DFE1E5"/>
                                                                <w:left w:val="single" w:sz="6" w:space="0" w:color="DFE1E5"/>
                                                                <w:bottom w:val="single" w:sz="6" w:space="0" w:color="DFE1E5"/>
                                                                <w:right w:val="single" w:sz="6" w:space="0" w:color="DFE1E5"/>
                                                              </w:divBdr>
                                                              <w:divsChild>
                                                                <w:div w:id="1091658156">
                                                                  <w:marLeft w:val="0"/>
                                                                  <w:marRight w:val="0"/>
                                                                  <w:marTop w:val="0"/>
                                                                  <w:marBottom w:val="0"/>
                                                                  <w:divBdr>
                                                                    <w:top w:val="none" w:sz="0" w:space="0" w:color="auto"/>
                                                                    <w:left w:val="none" w:sz="0" w:space="0" w:color="auto"/>
                                                                    <w:bottom w:val="none" w:sz="0" w:space="0" w:color="auto"/>
                                                                    <w:right w:val="none" w:sz="0" w:space="0" w:color="auto"/>
                                                                  </w:divBdr>
                                                                  <w:divsChild>
                                                                    <w:div w:id="1986202920">
                                                                      <w:marLeft w:val="0"/>
                                                                      <w:marRight w:val="0"/>
                                                                      <w:marTop w:val="0"/>
                                                                      <w:marBottom w:val="0"/>
                                                                      <w:divBdr>
                                                                        <w:top w:val="none" w:sz="0" w:space="0" w:color="auto"/>
                                                                        <w:left w:val="none" w:sz="0" w:space="0" w:color="auto"/>
                                                                        <w:bottom w:val="none" w:sz="0" w:space="0" w:color="auto"/>
                                                                        <w:right w:val="none" w:sz="0" w:space="0" w:color="auto"/>
                                                                      </w:divBdr>
                                                                      <w:divsChild>
                                                                        <w:div w:id="1009673636">
                                                                          <w:marLeft w:val="0"/>
                                                                          <w:marRight w:val="0"/>
                                                                          <w:marTop w:val="0"/>
                                                                          <w:marBottom w:val="0"/>
                                                                          <w:divBdr>
                                                                            <w:top w:val="none" w:sz="0" w:space="0" w:color="auto"/>
                                                                            <w:left w:val="none" w:sz="0" w:space="0" w:color="auto"/>
                                                                            <w:bottom w:val="none" w:sz="0" w:space="0" w:color="auto"/>
                                                                            <w:right w:val="none" w:sz="0" w:space="0" w:color="auto"/>
                                                                          </w:divBdr>
                                                                          <w:divsChild>
                                                                            <w:div w:id="1141850428">
                                                                              <w:marLeft w:val="0"/>
                                                                              <w:marRight w:val="0"/>
                                                                              <w:marTop w:val="0"/>
                                                                              <w:marBottom w:val="0"/>
                                                                              <w:divBdr>
                                                                                <w:top w:val="none" w:sz="0" w:space="0" w:color="auto"/>
                                                                                <w:left w:val="none" w:sz="0" w:space="0" w:color="auto"/>
                                                                                <w:bottom w:val="none" w:sz="0" w:space="0" w:color="auto"/>
                                                                                <w:right w:val="none" w:sz="0" w:space="0" w:color="auto"/>
                                                                              </w:divBdr>
                                                                              <w:divsChild>
                                                                                <w:div w:id="29819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5338">
                                                                          <w:marLeft w:val="-240"/>
                                                                          <w:marRight w:val="-240"/>
                                                                          <w:marTop w:val="0"/>
                                                                          <w:marBottom w:val="0"/>
                                                                          <w:divBdr>
                                                                            <w:top w:val="none" w:sz="0" w:space="0" w:color="auto"/>
                                                                            <w:left w:val="none" w:sz="0" w:space="0" w:color="auto"/>
                                                                            <w:bottom w:val="none" w:sz="0" w:space="0" w:color="auto"/>
                                                                            <w:right w:val="none" w:sz="0" w:space="0" w:color="auto"/>
                                                                          </w:divBdr>
                                                                          <w:divsChild>
                                                                            <w:div w:id="1033993991">
                                                                              <w:marLeft w:val="360"/>
                                                                              <w:marRight w:val="0"/>
                                                                              <w:marTop w:val="0"/>
                                                                              <w:marBottom w:val="0"/>
                                                                              <w:divBdr>
                                                                                <w:top w:val="none" w:sz="0" w:space="0" w:color="auto"/>
                                                                                <w:left w:val="none" w:sz="0" w:space="0" w:color="auto"/>
                                                                                <w:bottom w:val="none" w:sz="0" w:space="0" w:color="auto"/>
                                                                                <w:right w:val="none" w:sz="0" w:space="0" w:color="auto"/>
                                                                              </w:divBdr>
                                                                            </w:div>
                                                                            <w:div w:id="1409496039">
                                                                              <w:marLeft w:val="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6595025">
          <w:marLeft w:val="0"/>
          <w:marRight w:val="0"/>
          <w:marTop w:val="0"/>
          <w:marBottom w:val="0"/>
          <w:divBdr>
            <w:top w:val="none" w:sz="0" w:space="0" w:color="auto"/>
            <w:left w:val="none" w:sz="0" w:space="0" w:color="auto"/>
            <w:bottom w:val="none" w:sz="0" w:space="0" w:color="auto"/>
            <w:right w:val="none" w:sz="0" w:space="0" w:color="auto"/>
          </w:divBdr>
          <w:divsChild>
            <w:div w:id="1293632249">
              <w:marLeft w:val="0"/>
              <w:marRight w:val="0"/>
              <w:marTop w:val="0"/>
              <w:marBottom w:val="0"/>
              <w:divBdr>
                <w:top w:val="none" w:sz="0" w:space="0" w:color="auto"/>
                <w:left w:val="none" w:sz="0" w:space="0" w:color="auto"/>
                <w:bottom w:val="none" w:sz="0" w:space="0" w:color="auto"/>
                <w:right w:val="none" w:sz="0" w:space="0" w:color="auto"/>
              </w:divBdr>
              <w:divsChild>
                <w:div w:id="1671055060">
                  <w:marLeft w:val="2190"/>
                  <w:marRight w:val="0"/>
                  <w:marTop w:val="0"/>
                  <w:marBottom w:val="0"/>
                  <w:divBdr>
                    <w:top w:val="none" w:sz="0" w:space="0" w:color="auto"/>
                    <w:left w:val="none" w:sz="0" w:space="0" w:color="auto"/>
                    <w:bottom w:val="none" w:sz="0" w:space="0" w:color="auto"/>
                    <w:right w:val="none" w:sz="0" w:space="0" w:color="auto"/>
                  </w:divBdr>
                  <w:divsChild>
                    <w:div w:id="1597012593">
                      <w:marLeft w:val="0"/>
                      <w:marRight w:val="0"/>
                      <w:marTop w:val="150"/>
                      <w:marBottom w:val="0"/>
                      <w:divBdr>
                        <w:top w:val="single" w:sz="6" w:space="0" w:color="DFE1E5"/>
                        <w:left w:val="single" w:sz="6" w:space="0" w:color="DFE1E5"/>
                        <w:bottom w:val="single" w:sz="6" w:space="0" w:color="DFE1E5"/>
                        <w:right w:val="single" w:sz="6" w:space="0" w:color="DFE1E5"/>
                      </w:divBdr>
                      <w:divsChild>
                        <w:div w:id="1279413819">
                          <w:marLeft w:val="0"/>
                          <w:marRight w:val="0"/>
                          <w:marTop w:val="0"/>
                          <w:marBottom w:val="0"/>
                          <w:divBdr>
                            <w:top w:val="none" w:sz="0" w:space="0" w:color="auto"/>
                            <w:left w:val="none" w:sz="0" w:space="0" w:color="auto"/>
                            <w:bottom w:val="none" w:sz="0" w:space="0" w:color="auto"/>
                            <w:right w:val="none" w:sz="0" w:space="0" w:color="auto"/>
                          </w:divBdr>
                          <w:divsChild>
                            <w:div w:id="34170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75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477519">
      <w:bodyDiv w:val="1"/>
      <w:marLeft w:val="0"/>
      <w:marRight w:val="0"/>
      <w:marTop w:val="0"/>
      <w:marBottom w:val="0"/>
      <w:divBdr>
        <w:top w:val="none" w:sz="0" w:space="0" w:color="auto"/>
        <w:left w:val="none" w:sz="0" w:space="0" w:color="auto"/>
        <w:bottom w:val="none" w:sz="0" w:space="0" w:color="auto"/>
        <w:right w:val="none" w:sz="0" w:space="0" w:color="auto"/>
      </w:divBdr>
    </w:div>
    <w:div w:id="550112239">
      <w:bodyDiv w:val="1"/>
      <w:marLeft w:val="0"/>
      <w:marRight w:val="0"/>
      <w:marTop w:val="0"/>
      <w:marBottom w:val="0"/>
      <w:divBdr>
        <w:top w:val="none" w:sz="0" w:space="0" w:color="auto"/>
        <w:left w:val="none" w:sz="0" w:space="0" w:color="auto"/>
        <w:bottom w:val="none" w:sz="0" w:space="0" w:color="auto"/>
        <w:right w:val="none" w:sz="0" w:space="0" w:color="auto"/>
      </w:divBdr>
    </w:div>
    <w:div w:id="631054899">
      <w:bodyDiv w:val="1"/>
      <w:marLeft w:val="0"/>
      <w:marRight w:val="0"/>
      <w:marTop w:val="0"/>
      <w:marBottom w:val="0"/>
      <w:divBdr>
        <w:top w:val="none" w:sz="0" w:space="0" w:color="auto"/>
        <w:left w:val="none" w:sz="0" w:space="0" w:color="auto"/>
        <w:bottom w:val="none" w:sz="0" w:space="0" w:color="auto"/>
        <w:right w:val="none" w:sz="0" w:space="0" w:color="auto"/>
      </w:divBdr>
    </w:div>
    <w:div w:id="746460762">
      <w:bodyDiv w:val="1"/>
      <w:marLeft w:val="0"/>
      <w:marRight w:val="0"/>
      <w:marTop w:val="0"/>
      <w:marBottom w:val="0"/>
      <w:divBdr>
        <w:top w:val="none" w:sz="0" w:space="0" w:color="auto"/>
        <w:left w:val="none" w:sz="0" w:space="0" w:color="auto"/>
        <w:bottom w:val="none" w:sz="0" w:space="0" w:color="auto"/>
        <w:right w:val="none" w:sz="0" w:space="0" w:color="auto"/>
      </w:divBdr>
    </w:div>
    <w:div w:id="774904540">
      <w:bodyDiv w:val="1"/>
      <w:marLeft w:val="0"/>
      <w:marRight w:val="0"/>
      <w:marTop w:val="0"/>
      <w:marBottom w:val="0"/>
      <w:divBdr>
        <w:top w:val="none" w:sz="0" w:space="0" w:color="auto"/>
        <w:left w:val="none" w:sz="0" w:space="0" w:color="auto"/>
        <w:bottom w:val="none" w:sz="0" w:space="0" w:color="auto"/>
        <w:right w:val="none" w:sz="0" w:space="0" w:color="auto"/>
      </w:divBdr>
    </w:div>
    <w:div w:id="936711690">
      <w:bodyDiv w:val="1"/>
      <w:marLeft w:val="0"/>
      <w:marRight w:val="0"/>
      <w:marTop w:val="0"/>
      <w:marBottom w:val="0"/>
      <w:divBdr>
        <w:top w:val="none" w:sz="0" w:space="0" w:color="auto"/>
        <w:left w:val="none" w:sz="0" w:space="0" w:color="auto"/>
        <w:bottom w:val="none" w:sz="0" w:space="0" w:color="auto"/>
        <w:right w:val="none" w:sz="0" w:space="0" w:color="auto"/>
      </w:divBdr>
    </w:div>
    <w:div w:id="1243297339">
      <w:bodyDiv w:val="1"/>
      <w:marLeft w:val="0"/>
      <w:marRight w:val="0"/>
      <w:marTop w:val="0"/>
      <w:marBottom w:val="0"/>
      <w:divBdr>
        <w:top w:val="none" w:sz="0" w:space="0" w:color="auto"/>
        <w:left w:val="none" w:sz="0" w:space="0" w:color="auto"/>
        <w:bottom w:val="none" w:sz="0" w:space="0" w:color="auto"/>
        <w:right w:val="none" w:sz="0" w:space="0" w:color="auto"/>
      </w:divBdr>
    </w:div>
    <w:div w:id="1270508411">
      <w:bodyDiv w:val="1"/>
      <w:marLeft w:val="0"/>
      <w:marRight w:val="0"/>
      <w:marTop w:val="0"/>
      <w:marBottom w:val="0"/>
      <w:divBdr>
        <w:top w:val="none" w:sz="0" w:space="0" w:color="auto"/>
        <w:left w:val="none" w:sz="0" w:space="0" w:color="auto"/>
        <w:bottom w:val="none" w:sz="0" w:space="0" w:color="auto"/>
        <w:right w:val="none" w:sz="0" w:space="0" w:color="auto"/>
      </w:divBdr>
      <w:divsChild>
        <w:div w:id="246616618">
          <w:marLeft w:val="0"/>
          <w:marRight w:val="0"/>
          <w:marTop w:val="0"/>
          <w:marBottom w:val="0"/>
          <w:divBdr>
            <w:top w:val="none" w:sz="0" w:space="0" w:color="auto"/>
            <w:left w:val="none" w:sz="0" w:space="0" w:color="auto"/>
            <w:bottom w:val="none" w:sz="0" w:space="0" w:color="auto"/>
            <w:right w:val="none" w:sz="0" w:space="0" w:color="auto"/>
          </w:divBdr>
        </w:div>
        <w:div w:id="1550335041">
          <w:marLeft w:val="0"/>
          <w:marRight w:val="0"/>
          <w:marTop w:val="0"/>
          <w:marBottom w:val="0"/>
          <w:divBdr>
            <w:top w:val="none" w:sz="0" w:space="0" w:color="auto"/>
            <w:left w:val="none" w:sz="0" w:space="0" w:color="auto"/>
            <w:bottom w:val="none" w:sz="0" w:space="0" w:color="auto"/>
            <w:right w:val="none" w:sz="0" w:space="0" w:color="auto"/>
          </w:divBdr>
        </w:div>
        <w:div w:id="1001395046">
          <w:marLeft w:val="0"/>
          <w:marRight w:val="0"/>
          <w:marTop w:val="0"/>
          <w:marBottom w:val="0"/>
          <w:divBdr>
            <w:top w:val="none" w:sz="0" w:space="0" w:color="auto"/>
            <w:left w:val="none" w:sz="0" w:space="0" w:color="auto"/>
            <w:bottom w:val="none" w:sz="0" w:space="0" w:color="auto"/>
            <w:right w:val="none" w:sz="0" w:space="0" w:color="auto"/>
          </w:divBdr>
          <w:divsChild>
            <w:div w:id="1274896312">
              <w:marLeft w:val="-75"/>
              <w:marRight w:val="0"/>
              <w:marTop w:val="30"/>
              <w:marBottom w:val="30"/>
              <w:divBdr>
                <w:top w:val="none" w:sz="0" w:space="0" w:color="auto"/>
                <w:left w:val="none" w:sz="0" w:space="0" w:color="auto"/>
                <w:bottom w:val="none" w:sz="0" w:space="0" w:color="auto"/>
                <w:right w:val="none" w:sz="0" w:space="0" w:color="auto"/>
              </w:divBdr>
              <w:divsChild>
                <w:div w:id="1849053958">
                  <w:marLeft w:val="0"/>
                  <w:marRight w:val="0"/>
                  <w:marTop w:val="0"/>
                  <w:marBottom w:val="0"/>
                  <w:divBdr>
                    <w:top w:val="none" w:sz="0" w:space="0" w:color="auto"/>
                    <w:left w:val="none" w:sz="0" w:space="0" w:color="auto"/>
                    <w:bottom w:val="none" w:sz="0" w:space="0" w:color="auto"/>
                    <w:right w:val="none" w:sz="0" w:space="0" w:color="auto"/>
                  </w:divBdr>
                  <w:divsChild>
                    <w:div w:id="628167901">
                      <w:marLeft w:val="0"/>
                      <w:marRight w:val="0"/>
                      <w:marTop w:val="0"/>
                      <w:marBottom w:val="0"/>
                      <w:divBdr>
                        <w:top w:val="none" w:sz="0" w:space="0" w:color="auto"/>
                        <w:left w:val="none" w:sz="0" w:space="0" w:color="auto"/>
                        <w:bottom w:val="none" w:sz="0" w:space="0" w:color="auto"/>
                        <w:right w:val="none" w:sz="0" w:space="0" w:color="auto"/>
                      </w:divBdr>
                    </w:div>
                  </w:divsChild>
                </w:div>
                <w:div w:id="999768229">
                  <w:marLeft w:val="0"/>
                  <w:marRight w:val="0"/>
                  <w:marTop w:val="0"/>
                  <w:marBottom w:val="0"/>
                  <w:divBdr>
                    <w:top w:val="none" w:sz="0" w:space="0" w:color="auto"/>
                    <w:left w:val="none" w:sz="0" w:space="0" w:color="auto"/>
                    <w:bottom w:val="none" w:sz="0" w:space="0" w:color="auto"/>
                    <w:right w:val="none" w:sz="0" w:space="0" w:color="auto"/>
                  </w:divBdr>
                  <w:divsChild>
                    <w:div w:id="762532551">
                      <w:marLeft w:val="0"/>
                      <w:marRight w:val="0"/>
                      <w:marTop w:val="0"/>
                      <w:marBottom w:val="0"/>
                      <w:divBdr>
                        <w:top w:val="none" w:sz="0" w:space="0" w:color="auto"/>
                        <w:left w:val="none" w:sz="0" w:space="0" w:color="auto"/>
                        <w:bottom w:val="none" w:sz="0" w:space="0" w:color="auto"/>
                        <w:right w:val="none" w:sz="0" w:space="0" w:color="auto"/>
                      </w:divBdr>
                    </w:div>
                  </w:divsChild>
                </w:div>
                <w:div w:id="806169625">
                  <w:marLeft w:val="0"/>
                  <w:marRight w:val="0"/>
                  <w:marTop w:val="0"/>
                  <w:marBottom w:val="0"/>
                  <w:divBdr>
                    <w:top w:val="none" w:sz="0" w:space="0" w:color="auto"/>
                    <w:left w:val="none" w:sz="0" w:space="0" w:color="auto"/>
                    <w:bottom w:val="none" w:sz="0" w:space="0" w:color="auto"/>
                    <w:right w:val="none" w:sz="0" w:space="0" w:color="auto"/>
                  </w:divBdr>
                  <w:divsChild>
                    <w:div w:id="498884829">
                      <w:marLeft w:val="0"/>
                      <w:marRight w:val="0"/>
                      <w:marTop w:val="0"/>
                      <w:marBottom w:val="0"/>
                      <w:divBdr>
                        <w:top w:val="none" w:sz="0" w:space="0" w:color="auto"/>
                        <w:left w:val="none" w:sz="0" w:space="0" w:color="auto"/>
                        <w:bottom w:val="none" w:sz="0" w:space="0" w:color="auto"/>
                        <w:right w:val="none" w:sz="0" w:space="0" w:color="auto"/>
                      </w:divBdr>
                    </w:div>
                  </w:divsChild>
                </w:div>
                <w:div w:id="763260110">
                  <w:marLeft w:val="0"/>
                  <w:marRight w:val="0"/>
                  <w:marTop w:val="0"/>
                  <w:marBottom w:val="0"/>
                  <w:divBdr>
                    <w:top w:val="none" w:sz="0" w:space="0" w:color="auto"/>
                    <w:left w:val="none" w:sz="0" w:space="0" w:color="auto"/>
                    <w:bottom w:val="none" w:sz="0" w:space="0" w:color="auto"/>
                    <w:right w:val="none" w:sz="0" w:space="0" w:color="auto"/>
                  </w:divBdr>
                  <w:divsChild>
                    <w:div w:id="1519654408">
                      <w:marLeft w:val="0"/>
                      <w:marRight w:val="0"/>
                      <w:marTop w:val="0"/>
                      <w:marBottom w:val="0"/>
                      <w:divBdr>
                        <w:top w:val="none" w:sz="0" w:space="0" w:color="auto"/>
                        <w:left w:val="none" w:sz="0" w:space="0" w:color="auto"/>
                        <w:bottom w:val="none" w:sz="0" w:space="0" w:color="auto"/>
                        <w:right w:val="none" w:sz="0" w:space="0" w:color="auto"/>
                      </w:divBdr>
                    </w:div>
                  </w:divsChild>
                </w:div>
                <w:div w:id="163399231">
                  <w:marLeft w:val="0"/>
                  <w:marRight w:val="0"/>
                  <w:marTop w:val="0"/>
                  <w:marBottom w:val="0"/>
                  <w:divBdr>
                    <w:top w:val="none" w:sz="0" w:space="0" w:color="auto"/>
                    <w:left w:val="none" w:sz="0" w:space="0" w:color="auto"/>
                    <w:bottom w:val="none" w:sz="0" w:space="0" w:color="auto"/>
                    <w:right w:val="none" w:sz="0" w:space="0" w:color="auto"/>
                  </w:divBdr>
                  <w:divsChild>
                    <w:div w:id="1139809299">
                      <w:marLeft w:val="0"/>
                      <w:marRight w:val="0"/>
                      <w:marTop w:val="0"/>
                      <w:marBottom w:val="0"/>
                      <w:divBdr>
                        <w:top w:val="none" w:sz="0" w:space="0" w:color="auto"/>
                        <w:left w:val="none" w:sz="0" w:space="0" w:color="auto"/>
                        <w:bottom w:val="none" w:sz="0" w:space="0" w:color="auto"/>
                        <w:right w:val="none" w:sz="0" w:space="0" w:color="auto"/>
                      </w:divBdr>
                    </w:div>
                  </w:divsChild>
                </w:div>
                <w:div w:id="1959407717">
                  <w:marLeft w:val="0"/>
                  <w:marRight w:val="0"/>
                  <w:marTop w:val="0"/>
                  <w:marBottom w:val="0"/>
                  <w:divBdr>
                    <w:top w:val="none" w:sz="0" w:space="0" w:color="auto"/>
                    <w:left w:val="none" w:sz="0" w:space="0" w:color="auto"/>
                    <w:bottom w:val="none" w:sz="0" w:space="0" w:color="auto"/>
                    <w:right w:val="none" w:sz="0" w:space="0" w:color="auto"/>
                  </w:divBdr>
                  <w:divsChild>
                    <w:div w:id="2106416825">
                      <w:marLeft w:val="0"/>
                      <w:marRight w:val="0"/>
                      <w:marTop w:val="0"/>
                      <w:marBottom w:val="0"/>
                      <w:divBdr>
                        <w:top w:val="none" w:sz="0" w:space="0" w:color="auto"/>
                        <w:left w:val="none" w:sz="0" w:space="0" w:color="auto"/>
                        <w:bottom w:val="none" w:sz="0" w:space="0" w:color="auto"/>
                        <w:right w:val="none" w:sz="0" w:space="0" w:color="auto"/>
                      </w:divBdr>
                    </w:div>
                  </w:divsChild>
                </w:div>
                <w:div w:id="959335368">
                  <w:marLeft w:val="0"/>
                  <w:marRight w:val="0"/>
                  <w:marTop w:val="0"/>
                  <w:marBottom w:val="0"/>
                  <w:divBdr>
                    <w:top w:val="none" w:sz="0" w:space="0" w:color="auto"/>
                    <w:left w:val="none" w:sz="0" w:space="0" w:color="auto"/>
                    <w:bottom w:val="none" w:sz="0" w:space="0" w:color="auto"/>
                    <w:right w:val="none" w:sz="0" w:space="0" w:color="auto"/>
                  </w:divBdr>
                  <w:divsChild>
                    <w:div w:id="785734804">
                      <w:marLeft w:val="0"/>
                      <w:marRight w:val="0"/>
                      <w:marTop w:val="0"/>
                      <w:marBottom w:val="0"/>
                      <w:divBdr>
                        <w:top w:val="none" w:sz="0" w:space="0" w:color="auto"/>
                        <w:left w:val="none" w:sz="0" w:space="0" w:color="auto"/>
                        <w:bottom w:val="none" w:sz="0" w:space="0" w:color="auto"/>
                        <w:right w:val="none" w:sz="0" w:space="0" w:color="auto"/>
                      </w:divBdr>
                    </w:div>
                  </w:divsChild>
                </w:div>
                <w:div w:id="478965336">
                  <w:marLeft w:val="0"/>
                  <w:marRight w:val="0"/>
                  <w:marTop w:val="0"/>
                  <w:marBottom w:val="0"/>
                  <w:divBdr>
                    <w:top w:val="none" w:sz="0" w:space="0" w:color="auto"/>
                    <w:left w:val="none" w:sz="0" w:space="0" w:color="auto"/>
                    <w:bottom w:val="none" w:sz="0" w:space="0" w:color="auto"/>
                    <w:right w:val="none" w:sz="0" w:space="0" w:color="auto"/>
                  </w:divBdr>
                  <w:divsChild>
                    <w:div w:id="1317033150">
                      <w:marLeft w:val="0"/>
                      <w:marRight w:val="0"/>
                      <w:marTop w:val="0"/>
                      <w:marBottom w:val="0"/>
                      <w:divBdr>
                        <w:top w:val="none" w:sz="0" w:space="0" w:color="auto"/>
                        <w:left w:val="none" w:sz="0" w:space="0" w:color="auto"/>
                        <w:bottom w:val="none" w:sz="0" w:space="0" w:color="auto"/>
                        <w:right w:val="none" w:sz="0" w:space="0" w:color="auto"/>
                      </w:divBdr>
                    </w:div>
                  </w:divsChild>
                </w:div>
                <w:div w:id="43456686">
                  <w:marLeft w:val="0"/>
                  <w:marRight w:val="0"/>
                  <w:marTop w:val="0"/>
                  <w:marBottom w:val="0"/>
                  <w:divBdr>
                    <w:top w:val="none" w:sz="0" w:space="0" w:color="auto"/>
                    <w:left w:val="none" w:sz="0" w:space="0" w:color="auto"/>
                    <w:bottom w:val="none" w:sz="0" w:space="0" w:color="auto"/>
                    <w:right w:val="none" w:sz="0" w:space="0" w:color="auto"/>
                  </w:divBdr>
                  <w:divsChild>
                    <w:div w:id="1154637600">
                      <w:marLeft w:val="0"/>
                      <w:marRight w:val="0"/>
                      <w:marTop w:val="0"/>
                      <w:marBottom w:val="0"/>
                      <w:divBdr>
                        <w:top w:val="none" w:sz="0" w:space="0" w:color="auto"/>
                        <w:left w:val="none" w:sz="0" w:space="0" w:color="auto"/>
                        <w:bottom w:val="none" w:sz="0" w:space="0" w:color="auto"/>
                        <w:right w:val="none" w:sz="0" w:space="0" w:color="auto"/>
                      </w:divBdr>
                    </w:div>
                  </w:divsChild>
                </w:div>
                <w:div w:id="436221281">
                  <w:marLeft w:val="0"/>
                  <w:marRight w:val="0"/>
                  <w:marTop w:val="0"/>
                  <w:marBottom w:val="0"/>
                  <w:divBdr>
                    <w:top w:val="none" w:sz="0" w:space="0" w:color="auto"/>
                    <w:left w:val="none" w:sz="0" w:space="0" w:color="auto"/>
                    <w:bottom w:val="none" w:sz="0" w:space="0" w:color="auto"/>
                    <w:right w:val="none" w:sz="0" w:space="0" w:color="auto"/>
                  </w:divBdr>
                  <w:divsChild>
                    <w:div w:id="1249266364">
                      <w:marLeft w:val="0"/>
                      <w:marRight w:val="0"/>
                      <w:marTop w:val="0"/>
                      <w:marBottom w:val="0"/>
                      <w:divBdr>
                        <w:top w:val="none" w:sz="0" w:space="0" w:color="auto"/>
                        <w:left w:val="none" w:sz="0" w:space="0" w:color="auto"/>
                        <w:bottom w:val="none" w:sz="0" w:space="0" w:color="auto"/>
                        <w:right w:val="none" w:sz="0" w:space="0" w:color="auto"/>
                      </w:divBdr>
                    </w:div>
                  </w:divsChild>
                </w:div>
                <w:div w:id="1892568805">
                  <w:marLeft w:val="0"/>
                  <w:marRight w:val="0"/>
                  <w:marTop w:val="0"/>
                  <w:marBottom w:val="0"/>
                  <w:divBdr>
                    <w:top w:val="none" w:sz="0" w:space="0" w:color="auto"/>
                    <w:left w:val="none" w:sz="0" w:space="0" w:color="auto"/>
                    <w:bottom w:val="none" w:sz="0" w:space="0" w:color="auto"/>
                    <w:right w:val="none" w:sz="0" w:space="0" w:color="auto"/>
                  </w:divBdr>
                  <w:divsChild>
                    <w:div w:id="1367293522">
                      <w:marLeft w:val="0"/>
                      <w:marRight w:val="0"/>
                      <w:marTop w:val="0"/>
                      <w:marBottom w:val="0"/>
                      <w:divBdr>
                        <w:top w:val="none" w:sz="0" w:space="0" w:color="auto"/>
                        <w:left w:val="none" w:sz="0" w:space="0" w:color="auto"/>
                        <w:bottom w:val="none" w:sz="0" w:space="0" w:color="auto"/>
                        <w:right w:val="none" w:sz="0" w:space="0" w:color="auto"/>
                      </w:divBdr>
                    </w:div>
                  </w:divsChild>
                </w:div>
                <w:div w:id="863516509">
                  <w:marLeft w:val="0"/>
                  <w:marRight w:val="0"/>
                  <w:marTop w:val="0"/>
                  <w:marBottom w:val="0"/>
                  <w:divBdr>
                    <w:top w:val="none" w:sz="0" w:space="0" w:color="auto"/>
                    <w:left w:val="none" w:sz="0" w:space="0" w:color="auto"/>
                    <w:bottom w:val="none" w:sz="0" w:space="0" w:color="auto"/>
                    <w:right w:val="none" w:sz="0" w:space="0" w:color="auto"/>
                  </w:divBdr>
                  <w:divsChild>
                    <w:div w:id="1177648351">
                      <w:marLeft w:val="0"/>
                      <w:marRight w:val="0"/>
                      <w:marTop w:val="0"/>
                      <w:marBottom w:val="0"/>
                      <w:divBdr>
                        <w:top w:val="none" w:sz="0" w:space="0" w:color="auto"/>
                        <w:left w:val="none" w:sz="0" w:space="0" w:color="auto"/>
                        <w:bottom w:val="none" w:sz="0" w:space="0" w:color="auto"/>
                        <w:right w:val="none" w:sz="0" w:space="0" w:color="auto"/>
                      </w:divBdr>
                    </w:div>
                  </w:divsChild>
                </w:div>
                <w:div w:id="1514879002">
                  <w:marLeft w:val="0"/>
                  <w:marRight w:val="0"/>
                  <w:marTop w:val="0"/>
                  <w:marBottom w:val="0"/>
                  <w:divBdr>
                    <w:top w:val="none" w:sz="0" w:space="0" w:color="auto"/>
                    <w:left w:val="none" w:sz="0" w:space="0" w:color="auto"/>
                    <w:bottom w:val="none" w:sz="0" w:space="0" w:color="auto"/>
                    <w:right w:val="none" w:sz="0" w:space="0" w:color="auto"/>
                  </w:divBdr>
                  <w:divsChild>
                    <w:div w:id="94133460">
                      <w:marLeft w:val="0"/>
                      <w:marRight w:val="0"/>
                      <w:marTop w:val="0"/>
                      <w:marBottom w:val="0"/>
                      <w:divBdr>
                        <w:top w:val="none" w:sz="0" w:space="0" w:color="auto"/>
                        <w:left w:val="none" w:sz="0" w:space="0" w:color="auto"/>
                        <w:bottom w:val="none" w:sz="0" w:space="0" w:color="auto"/>
                        <w:right w:val="none" w:sz="0" w:space="0" w:color="auto"/>
                      </w:divBdr>
                    </w:div>
                  </w:divsChild>
                </w:div>
                <w:div w:id="1165440321">
                  <w:marLeft w:val="0"/>
                  <w:marRight w:val="0"/>
                  <w:marTop w:val="0"/>
                  <w:marBottom w:val="0"/>
                  <w:divBdr>
                    <w:top w:val="none" w:sz="0" w:space="0" w:color="auto"/>
                    <w:left w:val="none" w:sz="0" w:space="0" w:color="auto"/>
                    <w:bottom w:val="none" w:sz="0" w:space="0" w:color="auto"/>
                    <w:right w:val="none" w:sz="0" w:space="0" w:color="auto"/>
                  </w:divBdr>
                  <w:divsChild>
                    <w:div w:id="1228616222">
                      <w:marLeft w:val="0"/>
                      <w:marRight w:val="0"/>
                      <w:marTop w:val="0"/>
                      <w:marBottom w:val="0"/>
                      <w:divBdr>
                        <w:top w:val="none" w:sz="0" w:space="0" w:color="auto"/>
                        <w:left w:val="none" w:sz="0" w:space="0" w:color="auto"/>
                        <w:bottom w:val="none" w:sz="0" w:space="0" w:color="auto"/>
                        <w:right w:val="none" w:sz="0" w:space="0" w:color="auto"/>
                      </w:divBdr>
                    </w:div>
                  </w:divsChild>
                </w:div>
                <w:div w:id="1305043753">
                  <w:marLeft w:val="0"/>
                  <w:marRight w:val="0"/>
                  <w:marTop w:val="0"/>
                  <w:marBottom w:val="0"/>
                  <w:divBdr>
                    <w:top w:val="none" w:sz="0" w:space="0" w:color="auto"/>
                    <w:left w:val="none" w:sz="0" w:space="0" w:color="auto"/>
                    <w:bottom w:val="none" w:sz="0" w:space="0" w:color="auto"/>
                    <w:right w:val="none" w:sz="0" w:space="0" w:color="auto"/>
                  </w:divBdr>
                  <w:divsChild>
                    <w:div w:id="567882991">
                      <w:marLeft w:val="0"/>
                      <w:marRight w:val="0"/>
                      <w:marTop w:val="0"/>
                      <w:marBottom w:val="0"/>
                      <w:divBdr>
                        <w:top w:val="none" w:sz="0" w:space="0" w:color="auto"/>
                        <w:left w:val="none" w:sz="0" w:space="0" w:color="auto"/>
                        <w:bottom w:val="none" w:sz="0" w:space="0" w:color="auto"/>
                        <w:right w:val="none" w:sz="0" w:space="0" w:color="auto"/>
                      </w:divBdr>
                    </w:div>
                  </w:divsChild>
                </w:div>
                <w:div w:id="1095785080">
                  <w:marLeft w:val="0"/>
                  <w:marRight w:val="0"/>
                  <w:marTop w:val="0"/>
                  <w:marBottom w:val="0"/>
                  <w:divBdr>
                    <w:top w:val="none" w:sz="0" w:space="0" w:color="auto"/>
                    <w:left w:val="none" w:sz="0" w:space="0" w:color="auto"/>
                    <w:bottom w:val="none" w:sz="0" w:space="0" w:color="auto"/>
                    <w:right w:val="none" w:sz="0" w:space="0" w:color="auto"/>
                  </w:divBdr>
                  <w:divsChild>
                    <w:div w:id="910045262">
                      <w:marLeft w:val="0"/>
                      <w:marRight w:val="0"/>
                      <w:marTop w:val="0"/>
                      <w:marBottom w:val="0"/>
                      <w:divBdr>
                        <w:top w:val="none" w:sz="0" w:space="0" w:color="auto"/>
                        <w:left w:val="none" w:sz="0" w:space="0" w:color="auto"/>
                        <w:bottom w:val="none" w:sz="0" w:space="0" w:color="auto"/>
                        <w:right w:val="none" w:sz="0" w:space="0" w:color="auto"/>
                      </w:divBdr>
                    </w:div>
                  </w:divsChild>
                </w:div>
                <w:div w:id="2033606005">
                  <w:marLeft w:val="0"/>
                  <w:marRight w:val="0"/>
                  <w:marTop w:val="0"/>
                  <w:marBottom w:val="0"/>
                  <w:divBdr>
                    <w:top w:val="none" w:sz="0" w:space="0" w:color="auto"/>
                    <w:left w:val="none" w:sz="0" w:space="0" w:color="auto"/>
                    <w:bottom w:val="none" w:sz="0" w:space="0" w:color="auto"/>
                    <w:right w:val="none" w:sz="0" w:space="0" w:color="auto"/>
                  </w:divBdr>
                  <w:divsChild>
                    <w:div w:id="1361783554">
                      <w:marLeft w:val="0"/>
                      <w:marRight w:val="0"/>
                      <w:marTop w:val="0"/>
                      <w:marBottom w:val="0"/>
                      <w:divBdr>
                        <w:top w:val="none" w:sz="0" w:space="0" w:color="auto"/>
                        <w:left w:val="none" w:sz="0" w:space="0" w:color="auto"/>
                        <w:bottom w:val="none" w:sz="0" w:space="0" w:color="auto"/>
                        <w:right w:val="none" w:sz="0" w:space="0" w:color="auto"/>
                      </w:divBdr>
                    </w:div>
                  </w:divsChild>
                </w:div>
                <w:div w:id="39667763">
                  <w:marLeft w:val="0"/>
                  <w:marRight w:val="0"/>
                  <w:marTop w:val="0"/>
                  <w:marBottom w:val="0"/>
                  <w:divBdr>
                    <w:top w:val="none" w:sz="0" w:space="0" w:color="auto"/>
                    <w:left w:val="none" w:sz="0" w:space="0" w:color="auto"/>
                    <w:bottom w:val="none" w:sz="0" w:space="0" w:color="auto"/>
                    <w:right w:val="none" w:sz="0" w:space="0" w:color="auto"/>
                  </w:divBdr>
                  <w:divsChild>
                    <w:div w:id="123934435">
                      <w:marLeft w:val="0"/>
                      <w:marRight w:val="0"/>
                      <w:marTop w:val="0"/>
                      <w:marBottom w:val="0"/>
                      <w:divBdr>
                        <w:top w:val="none" w:sz="0" w:space="0" w:color="auto"/>
                        <w:left w:val="none" w:sz="0" w:space="0" w:color="auto"/>
                        <w:bottom w:val="none" w:sz="0" w:space="0" w:color="auto"/>
                        <w:right w:val="none" w:sz="0" w:space="0" w:color="auto"/>
                      </w:divBdr>
                    </w:div>
                  </w:divsChild>
                </w:div>
                <w:div w:id="2108231584">
                  <w:marLeft w:val="0"/>
                  <w:marRight w:val="0"/>
                  <w:marTop w:val="0"/>
                  <w:marBottom w:val="0"/>
                  <w:divBdr>
                    <w:top w:val="none" w:sz="0" w:space="0" w:color="auto"/>
                    <w:left w:val="none" w:sz="0" w:space="0" w:color="auto"/>
                    <w:bottom w:val="none" w:sz="0" w:space="0" w:color="auto"/>
                    <w:right w:val="none" w:sz="0" w:space="0" w:color="auto"/>
                  </w:divBdr>
                  <w:divsChild>
                    <w:div w:id="1966152672">
                      <w:marLeft w:val="0"/>
                      <w:marRight w:val="0"/>
                      <w:marTop w:val="0"/>
                      <w:marBottom w:val="0"/>
                      <w:divBdr>
                        <w:top w:val="none" w:sz="0" w:space="0" w:color="auto"/>
                        <w:left w:val="none" w:sz="0" w:space="0" w:color="auto"/>
                        <w:bottom w:val="none" w:sz="0" w:space="0" w:color="auto"/>
                        <w:right w:val="none" w:sz="0" w:space="0" w:color="auto"/>
                      </w:divBdr>
                    </w:div>
                  </w:divsChild>
                </w:div>
                <w:div w:id="859393184">
                  <w:marLeft w:val="0"/>
                  <w:marRight w:val="0"/>
                  <w:marTop w:val="0"/>
                  <w:marBottom w:val="0"/>
                  <w:divBdr>
                    <w:top w:val="none" w:sz="0" w:space="0" w:color="auto"/>
                    <w:left w:val="none" w:sz="0" w:space="0" w:color="auto"/>
                    <w:bottom w:val="none" w:sz="0" w:space="0" w:color="auto"/>
                    <w:right w:val="none" w:sz="0" w:space="0" w:color="auto"/>
                  </w:divBdr>
                  <w:divsChild>
                    <w:div w:id="18743841">
                      <w:marLeft w:val="0"/>
                      <w:marRight w:val="0"/>
                      <w:marTop w:val="0"/>
                      <w:marBottom w:val="0"/>
                      <w:divBdr>
                        <w:top w:val="none" w:sz="0" w:space="0" w:color="auto"/>
                        <w:left w:val="none" w:sz="0" w:space="0" w:color="auto"/>
                        <w:bottom w:val="none" w:sz="0" w:space="0" w:color="auto"/>
                        <w:right w:val="none" w:sz="0" w:space="0" w:color="auto"/>
                      </w:divBdr>
                    </w:div>
                  </w:divsChild>
                </w:div>
                <w:div w:id="636879156">
                  <w:marLeft w:val="0"/>
                  <w:marRight w:val="0"/>
                  <w:marTop w:val="0"/>
                  <w:marBottom w:val="0"/>
                  <w:divBdr>
                    <w:top w:val="none" w:sz="0" w:space="0" w:color="auto"/>
                    <w:left w:val="none" w:sz="0" w:space="0" w:color="auto"/>
                    <w:bottom w:val="none" w:sz="0" w:space="0" w:color="auto"/>
                    <w:right w:val="none" w:sz="0" w:space="0" w:color="auto"/>
                  </w:divBdr>
                  <w:divsChild>
                    <w:div w:id="1113480143">
                      <w:marLeft w:val="0"/>
                      <w:marRight w:val="0"/>
                      <w:marTop w:val="0"/>
                      <w:marBottom w:val="0"/>
                      <w:divBdr>
                        <w:top w:val="none" w:sz="0" w:space="0" w:color="auto"/>
                        <w:left w:val="none" w:sz="0" w:space="0" w:color="auto"/>
                        <w:bottom w:val="none" w:sz="0" w:space="0" w:color="auto"/>
                        <w:right w:val="none" w:sz="0" w:space="0" w:color="auto"/>
                      </w:divBdr>
                    </w:div>
                  </w:divsChild>
                </w:div>
                <w:div w:id="926622697">
                  <w:marLeft w:val="0"/>
                  <w:marRight w:val="0"/>
                  <w:marTop w:val="0"/>
                  <w:marBottom w:val="0"/>
                  <w:divBdr>
                    <w:top w:val="none" w:sz="0" w:space="0" w:color="auto"/>
                    <w:left w:val="none" w:sz="0" w:space="0" w:color="auto"/>
                    <w:bottom w:val="none" w:sz="0" w:space="0" w:color="auto"/>
                    <w:right w:val="none" w:sz="0" w:space="0" w:color="auto"/>
                  </w:divBdr>
                  <w:divsChild>
                    <w:div w:id="1097093140">
                      <w:marLeft w:val="0"/>
                      <w:marRight w:val="0"/>
                      <w:marTop w:val="0"/>
                      <w:marBottom w:val="0"/>
                      <w:divBdr>
                        <w:top w:val="none" w:sz="0" w:space="0" w:color="auto"/>
                        <w:left w:val="none" w:sz="0" w:space="0" w:color="auto"/>
                        <w:bottom w:val="none" w:sz="0" w:space="0" w:color="auto"/>
                        <w:right w:val="none" w:sz="0" w:space="0" w:color="auto"/>
                      </w:divBdr>
                    </w:div>
                  </w:divsChild>
                </w:div>
                <w:div w:id="862785490">
                  <w:marLeft w:val="0"/>
                  <w:marRight w:val="0"/>
                  <w:marTop w:val="0"/>
                  <w:marBottom w:val="0"/>
                  <w:divBdr>
                    <w:top w:val="none" w:sz="0" w:space="0" w:color="auto"/>
                    <w:left w:val="none" w:sz="0" w:space="0" w:color="auto"/>
                    <w:bottom w:val="none" w:sz="0" w:space="0" w:color="auto"/>
                    <w:right w:val="none" w:sz="0" w:space="0" w:color="auto"/>
                  </w:divBdr>
                  <w:divsChild>
                    <w:div w:id="631328114">
                      <w:marLeft w:val="0"/>
                      <w:marRight w:val="0"/>
                      <w:marTop w:val="0"/>
                      <w:marBottom w:val="0"/>
                      <w:divBdr>
                        <w:top w:val="none" w:sz="0" w:space="0" w:color="auto"/>
                        <w:left w:val="none" w:sz="0" w:space="0" w:color="auto"/>
                        <w:bottom w:val="none" w:sz="0" w:space="0" w:color="auto"/>
                        <w:right w:val="none" w:sz="0" w:space="0" w:color="auto"/>
                      </w:divBdr>
                    </w:div>
                  </w:divsChild>
                </w:div>
                <w:div w:id="1993487554">
                  <w:marLeft w:val="0"/>
                  <w:marRight w:val="0"/>
                  <w:marTop w:val="0"/>
                  <w:marBottom w:val="0"/>
                  <w:divBdr>
                    <w:top w:val="none" w:sz="0" w:space="0" w:color="auto"/>
                    <w:left w:val="none" w:sz="0" w:space="0" w:color="auto"/>
                    <w:bottom w:val="none" w:sz="0" w:space="0" w:color="auto"/>
                    <w:right w:val="none" w:sz="0" w:space="0" w:color="auto"/>
                  </w:divBdr>
                  <w:divsChild>
                    <w:div w:id="178592723">
                      <w:marLeft w:val="0"/>
                      <w:marRight w:val="0"/>
                      <w:marTop w:val="0"/>
                      <w:marBottom w:val="0"/>
                      <w:divBdr>
                        <w:top w:val="none" w:sz="0" w:space="0" w:color="auto"/>
                        <w:left w:val="none" w:sz="0" w:space="0" w:color="auto"/>
                        <w:bottom w:val="none" w:sz="0" w:space="0" w:color="auto"/>
                        <w:right w:val="none" w:sz="0" w:space="0" w:color="auto"/>
                      </w:divBdr>
                    </w:div>
                  </w:divsChild>
                </w:div>
                <w:div w:id="566916259">
                  <w:marLeft w:val="0"/>
                  <w:marRight w:val="0"/>
                  <w:marTop w:val="0"/>
                  <w:marBottom w:val="0"/>
                  <w:divBdr>
                    <w:top w:val="none" w:sz="0" w:space="0" w:color="auto"/>
                    <w:left w:val="none" w:sz="0" w:space="0" w:color="auto"/>
                    <w:bottom w:val="none" w:sz="0" w:space="0" w:color="auto"/>
                    <w:right w:val="none" w:sz="0" w:space="0" w:color="auto"/>
                  </w:divBdr>
                  <w:divsChild>
                    <w:div w:id="11692774">
                      <w:marLeft w:val="0"/>
                      <w:marRight w:val="0"/>
                      <w:marTop w:val="0"/>
                      <w:marBottom w:val="0"/>
                      <w:divBdr>
                        <w:top w:val="none" w:sz="0" w:space="0" w:color="auto"/>
                        <w:left w:val="none" w:sz="0" w:space="0" w:color="auto"/>
                        <w:bottom w:val="none" w:sz="0" w:space="0" w:color="auto"/>
                        <w:right w:val="none" w:sz="0" w:space="0" w:color="auto"/>
                      </w:divBdr>
                    </w:div>
                  </w:divsChild>
                </w:div>
                <w:div w:id="499587608">
                  <w:marLeft w:val="0"/>
                  <w:marRight w:val="0"/>
                  <w:marTop w:val="0"/>
                  <w:marBottom w:val="0"/>
                  <w:divBdr>
                    <w:top w:val="none" w:sz="0" w:space="0" w:color="auto"/>
                    <w:left w:val="none" w:sz="0" w:space="0" w:color="auto"/>
                    <w:bottom w:val="none" w:sz="0" w:space="0" w:color="auto"/>
                    <w:right w:val="none" w:sz="0" w:space="0" w:color="auto"/>
                  </w:divBdr>
                  <w:divsChild>
                    <w:div w:id="826362652">
                      <w:marLeft w:val="0"/>
                      <w:marRight w:val="0"/>
                      <w:marTop w:val="0"/>
                      <w:marBottom w:val="0"/>
                      <w:divBdr>
                        <w:top w:val="none" w:sz="0" w:space="0" w:color="auto"/>
                        <w:left w:val="none" w:sz="0" w:space="0" w:color="auto"/>
                        <w:bottom w:val="none" w:sz="0" w:space="0" w:color="auto"/>
                        <w:right w:val="none" w:sz="0" w:space="0" w:color="auto"/>
                      </w:divBdr>
                    </w:div>
                  </w:divsChild>
                </w:div>
                <w:div w:id="1968391536">
                  <w:marLeft w:val="0"/>
                  <w:marRight w:val="0"/>
                  <w:marTop w:val="0"/>
                  <w:marBottom w:val="0"/>
                  <w:divBdr>
                    <w:top w:val="none" w:sz="0" w:space="0" w:color="auto"/>
                    <w:left w:val="none" w:sz="0" w:space="0" w:color="auto"/>
                    <w:bottom w:val="none" w:sz="0" w:space="0" w:color="auto"/>
                    <w:right w:val="none" w:sz="0" w:space="0" w:color="auto"/>
                  </w:divBdr>
                  <w:divsChild>
                    <w:div w:id="316107957">
                      <w:marLeft w:val="0"/>
                      <w:marRight w:val="0"/>
                      <w:marTop w:val="0"/>
                      <w:marBottom w:val="0"/>
                      <w:divBdr>
                        <w:top w:val="none" w:sz="0" w:space="0" w:color="auto"/>
                        <w:left w:val="none" w:sz="0" w:space="0" w:color="auto"/>
                        <w:bottom w:val="none" w:sz="0" w:space="0" w:color="auto"/>
                        <w:right w:val="none" w:sz="0" w:space="0" w:color="auto"/>
                      </w:divBdr>
                    </w:div>
                  </w:divsChild>
                </w:div>
                <w:div w:id="1580600802">
                  <w:marLeft w:val="0"/>
                  <w:marRight w:val="0"/>
                  <w:marTop w:val="0"/>
                  <w:marBottom w:val="0"/>
                  <w:divBdr>
                    <w:top w:val="none" w:sz="0" w:space="0" w:color="auto"/>
                    <w:left w:val="none" w:sz="0" w:space="0" w:color="auto"/>
                    <w:bottom w:val="none" w:sz="0" w:space="0" w:color="auto"/>
                    <w:right w:val="none" w:sz="0" w:space="0" w:color="auto"/>
                  </w:divBdr>
                  <w:divsChild>
                    <w:div w:id="1839880664">
                      <w:marLeft w:val="0"/>
                      <w:marRight w:val="0"/>
                      <w:marTop w:val="0"/>
                      <w:marBottom w:val="0"/>
                      <w:divBdr>
                        <w:top w:val="none" w:sz="0" w:space="0" w:color="auto"/>
                        <w:left w:val="none" w:sz="0" w:space="0" w:color="auto"/>
                        <w:bottom w:val="none" w:sz="0" w:space="0" w:color="auto"/>
                        <w:right w:val="none" w:sz="0" w:space="0" w:color="auto"/>
                      </w:divBdr>
                    </w:div>
                  </w:divsChild>
                </w:div>
                <w:div w:id="787091044">
                  <w:marLeft w:val="0"/>
                  <w:marRight w:val="0"/>
                  <w:marTop w:val="0"/>
                  <w:marBottom w:val="0"/>
                  <w:divBdr>
                    <w:top w:val="none" w:sz="0" w:space="0" w:color="auto"/>
                    <w:left w:val="none" w:sz="0" w:space="0" w:color="auto"/>
                    <w:bottom w:val="none" w:sz="0" w:space="0" w:color="auto"/>
                    <w:right w:val="none" w:sz="0" w:space="0" w:color="auto"/>
                  </w:divBdr>
                  <w:divsChild>
                    <w:div w:id="452404675">
                      <w:marLeft w:val="0"/>
                      <w:marRight w:val="0"/>
                      <w:marTop w:val="0"/>
                      <w:marBottom w:val="0"/>
                      <w:divBdr>
                        <w:top w:val="none" w:sz="0" w:space="0" w:color="auto"/>
                        <w:left w:val="none" w:sz="0" w:space="0" w:color="auto"/>
                        <w:bottom w:val="none" w:sz="0" w:space="0" w:color="auto"/>
                        <w:right w:val="none" w:sz="0" w:space="0" w:color="auto"/>
                      </w:divBdr>
                    </w:div>
                  </w:divsChild>
                </w:div>
                <w:div w:id="84111590">
                  <w:marLeft w:val="0"/>
                  <w:marRight w:val="0"/>
                  <w:marTop w:val="0"/>
                  <w:marBottom w:val="0"/>
                  <w:divBdr>
                    <w:top w:val="none" w:sz="0" w:space="0" w:color="auto"/>
                    <w:left w:val="none" w:sz="0" w:space="0" w:color="auto"/>
                    <w:bottom w:val="none" w:sz="0" w:space="0" w:color="auto"/>
                    <w:right w:val="none" w:sz="0" w:space="0" w:color="auto"/>
                  </w:divBdr>
                  <w:divsChild>
                    <w:div w:id="805048391">
                      <w:marLeft w:val="0"/>
                      <w:marRight w:val="0"/>
                      <w:marTop w:val="0"/>
                      <w:marBottom w:val="0"/>
                      <w:divBdr>
                        <w:top w:val="none" w:sz="0" w:space="0" w:color="auto"/>
                        <w:left w:val="none" w:sz="0" w:space="0" w:color="auto"/>
                        <w:bottom w:val="none" w:sz="0" w:space="0" w:color="auto"/>
                        <w:right w:val="none" w:sz="0" w:space="0" w:color="auto"/>
                      </w:divBdr>
                    </w:div>
                  </w:divsChild>
                </w:div>
                <w:div w:id="1466314772">
                  <w:marLeft w:val="0"/>
                  <w:marRight w:val="0"/>
                  <w:marTop w:val="0"/>
                  <w:marBottom w:val="0"/>
                  <w:divBdr>
                    <w:top w:val="none" w:sz="0" w:space="0" w:color="auto"/>
                    <w:left w:val="none" w:sz="0" w:space="0" w:color="auto"/>
                    <w:bottom w:val="none" w:sz="0" w:space="0" w:color="auto"/>
                    <w:right w:val="none" w:sz="0" w:space="0" w:color="auto"/>
                  </w:divBdr>
                  <w:divsChild>
                    <w:div w:id="1531916484">
                      <w:marLeft w:val="0"/>
                      <w:marRight w:val="0"/>
                      <w:marTop w:val="0"/>
                      <w:marBottom w:val="0"/>
                      <w:divBdr>
                        <w:top w:val="none" w:sz="0" w:space="0" w:color="auto"/>
                        <w:left w:val="none" w:sz="0" w:space="0" w:color="auto"/>
                        <w:bottom w:val="none" w:sz="0" w:space="0" w:color="auto"/>
                        <w:right w:val="none" w:sz="0" w:space="0" w:color="auto"/>
                      </w:divBdr>
                    </w:div>
                  </w:divsChild>
                </w:div>
                <w:div w:id="310182941">
                  <w:marLeft w:val="0"/>
                  <w:marRight w:val="0"/>
                  <w:marTop w:val="0"/>
                  <w:marBottom w:val="0"/>
                  <w:divBdr>
                    <w:top w:val="none" w:sz="0" w:space="0" w:color="auto"/>
                    <w:left w:val="none" w:sz="0" w:space="0" w:color="auto"/>
                    <w:bottom w:val="none" w:sz="0" w:space="0" w:color="auto"/>
                    <w:right w:val="none" w:sz="0" w:space="0" w:color="auto"/>
                  </w:divBdr>
                  <w:divsChild>
                    <w:div w:id="278537826">
                      <w:marLeft w:val="0"/>
                      <w:marRight w:val="0"/>
                      <w:marTop w:val="0"/>
                      <w:marBottom w:val="0"/>
                      <w:divBdr>
                        <w:top w:val="none" w:sz="0" w:space="0" w:color="auto"/>
                        <w:left w:val="none" w:sz="0" w:space="0" w:color="auto"/>
                        <w:bottom w:val="none" w:sz="0" w:space="0" w:color="auto"/>
                        <w:right w:val="none" w:sz="0" w:space="0" w:color="auto"/>
                      </w:divBdr>
                    </w:div>
                  </w:divsChild>
                </w:div>
                <w:div w:id="1974943862">
                  <w:marLeft w:val="0"/>
                  <w:marRight w:val="0"/>
                  <w:marTop w:val="0"/>
                  <w:marBottom w:val="0"/>
                  <w:divBdr>
                    <w:top w:val="none" w:sz="0" w:space="0" w:color="auto"/>
                    <w:left w:val="none" w:sz="0" w:space="0" w:color="auto"/>
                    <w:bottom w:val="none" w:sz="0" w:space="0" w:color="auto"/>
                    <w:right w:val="none" w:sz="0" w:space="0" w:color="auto"/>
                  </w:divBdr>
                  <w:divsChild>
                    <w:div w:id="1418942633">
                      <w:marLeft w:val="0"/>
                      <w:marRight w:val="0"/>
                      <w:marTop w:val="0"/>
                      <w:marBottom w:val="0"/>
                      <w:divBdr>
                        <w:top w:val="none" w:sz="0" w:space="0" w:color="auto"/>
                        <w:left w:val="none" w:sz="0" w:space="0" w:color="auto"/>
                        <w:bottom w:val="none" w:sz="0" w:space="0" w:color="auto"/>
                        <w:right w:val="none" w:sz="0" w:space="0" w:color="auto"/>
                      </w:divBdr>
                    </w:div>
                  </w:divsChild>
                </w:div>
                <w:div w:id="1702700911">
                  <w:marLeft w:val="0"/>
                  <w:marRight w:val="0"/>
                  <w:marTop w:val="0"/>
                  <w:marBottom w:val="0"/>
                  <w:divBdr>
                    <w:top w:val="none" w:sz="0" w:space="0" w:color="auto"/>
                    <w:left w:val="none" w:sz="0" w:space="0" w:color="auto"/>
                    <w:bottom w:val="none" w:sz="0" w:space="0" w:color="auto"/>
                    <w:right w:val="none" w:sz="0" w:space="0" w:color="auto"/>
                  </w:divBdr>
                  <w:divsChild>
                    <w:div w:id="2028016684">
                      <w:marLeft w:val="0"/>
                      <w:marRight w:val="0"/>
                      <w:marTop w:val="0"/>
                      <w:marBottom w:val="0"/>
                      <w:divBdr>
                        <w:top w:val="none" w:sz="0" w:space="0" w:color="auto"/>
                        <w:left w:val="none" w:sz="0" w:space="0" w:color="auto"/>
                        <w:bottom w:val="none" w:sz="0" w:space="0" w:color="auto"/>
                        <w:right w:val="none" w:sz="0" w:space="0" w:color="auto"/>
                      </w:divBdr>
                    </w:div>
                  </w:divsChild>
                </w:div>
                <w:div w:id="1954629890">
                  <w:marLeft w:val="0"/>
                  <w:marRight w:val="0"/>
                  <w:marTop w:val="0"/>
                  <w:marBottom w:val="0"/>
                  <w:divBdr>
                    <w:top w:val="none" w:sz="0" w:space="0" w:color="auto"/>
                    <w:left w:val="none" w:sz="0" w:space="0" w:color="auto"/>
                    <w:bottom w:val="none" w:sz="0" w:space="0" w:color="auto"/>
                    <w:right w:val="none" w:sz="0" w:space="0" w:color="auto"/>
                  </w:divBdr>
                  <w:divsChild>
                    <w:div w:id="1651523641">
                      <w:marLeft w:val="0"/>
                      <w:marRight w:val="0"/>
                      <w:marTop w:val="0"/>
                      <w:marBottom w:val="0"/>
                      <w:divBdr>
                        <w:top w:val="none" w:sz="0" w:space="0" w:color="auto"/>
                        <w:left w:val="none" w:sz="0" w:space="0" w:color="auto"/>
                        <w:bottom w:val="none" w:sz="0" w:space="0" w:color="auto"/>
                        <w:right w:val="none" w:sz="0" w:space="0" w:color="auto"/>
                      </w:divBdr>
                    </w:div>
                  </w:divsChild>
                </w:div>
                <w:div w:id="177625359">
                  <w:marLeft w:val="0"/>
                  <w:marRight w:val="0"/>
                  <w:marTop w:val="0"/>
                  <w:marBottom w:val="0"/>
                  <w:divBdr>
                    <w:top w:val="none" w:sz="0" w:space="0" w:color="auto"/>
                    <w:left w:val="none" w:sz="0" w:space="0" w:color="auto"/>
                    <w:bottom w:val="none" w:sz="0" w:space="0" w:color="auto"/>
                    <w:right w:val="none" w:sz="0" w:space="0" w:color="auto"/>
                  </w:divBdr>
                  <w:divsChild>
                    <w:div w:id="1562251659">
                      <w:marLeft w:val="0"/>
                      <w:marRight w:val="0"/>
                      <w:marTop w:val="0"/>
                      <w:marBottom w:val="0"/>
                      <w:divBdr>
                        <w:top w:val="none" w:sz="0" w:space="0" w:color="auto"/>
                        <w:left w:val="none" w:sz="0" w:space="0" w:color="auto"/>
                        <w:bottom w:val="none" w:sz="0" w:space="0" w:color="auto"/>
                        <w:right w:val="none" w:sz="0" w:space="0" w:color="auto"/>
                      </w:divBdr>
                    </w:div>
                  </w:divsChild>
                </w:div>
                <w:div w:id="1744839309">
                  <w:marLeft w:val="0"/>
                  <w:marRight w:val="0"/>
                  <w:marTop w:val="0"/>
                  <w:marBottom w:val="0"/>
                  <w:divBdr>
                    <w:top w:val="none" w:sz="0" w:space="0" w:color="auto"/>
                    <w:left w:val="none" w:sz="0" w:space="0" w:color="auto"/>
                    <w:bottom w:val="none" w:sz="0" w:space="0" w:color="auto"/>
                    <w:right w:val="none" w:sz="0" w:space="0" w:color="auto"/>
                  </w:divBdr>
                  <w:divsChild>
                    <w:div w:id="1106727798">
                      <w:marLeft w:val="0"/>
                      <w:marRight w:val="0"/>
                      <w:marTop w:val="0"/>
                      <w:marBottom w:val="0"/>
                      <w:divBdr>
                        <w:top w:val="none" w:sz="0" w:space="0" w:color="auto"/>
                        <w:left w:val="none" w:sz="0" w:space="0" w:color="auto"/>
                        <w:bottom w:val="none" w:sz="0" w:space="0" w:color="auto"/>
                        <w:right w:val="none" w:sz="0" w:space="0" w:color="auto"/>
                      </w:divBdr>
                    </w:div>
                  </w:divsChild>
                </w:div>
                <w:div w:id="308022630">
                  <w:marLeft w:val="0"/>
                  <w:marRight w:val="0"/>
                  <w:marTop w:val="0"/>
                  <w:marBottom w:val="0"/>
                  <w:divBdr>
                    <w:top w:val="none" w:sz="0" w:space="0" w:color="auto"/>
                    <w:left w:val="none" w:sz="0" w:space="0" w:color="auto"/>
                    <w:bottom w:val="none" w:sz="0" w:space="0" w:color="auto"/>
                    <w:right w:val="none" w:sz="0" w:space="0" w:color="auto"/>
                  </w:divBdr>
                  <w:divsChild>
                    <w:div w:id="343627983">
                      <w:marLeft w:val="0"/>
                      <w:marRight w:val="0"/>
                      <w:marTop w:val="0"/>
                      <w:marBottom w:val="0"/>
                      <w:divBdr>
                        <w:top w:val="none" w:sz="0" w:space="0" w:color="auto"/>
                        <w:left w:val="none" w:sz="0" w:space="0" w:color="auto"/>
                        <w:bottom w:val="none" w:sz="0" w:space="0" w:color="auto"/>
                        <w:right w:val="none" w:sz="0" w:space="0" w:color="auto"/>
                      </w:divBdr>
                    </w:div>
                  </w:divsChild>
                </w:div>
                <w:div w:id="475147316">
                  <w:marLeft w:val="0"/>
                  <w:marRight w:val="0"/>
                  <w:marTop w:val="0"/>
                  <w:marBottom w:val="0"/>
                  <w:divBdr>
                    <w:top w:val="none" w:sz="0" w:space="0" w:color="auto"/>
                    <w:left w:val="none" w:sz="0" w:space="0" w:color="auto"/>
                    <w:bottom w:val="none" w:sz="0" w:space="0" w:color="auto"/>
                    <w:right w:val="none" w:sz="0" w:space="0" w:color="auto"/>
                  </w:divBdr>
                  <w:divsChild>
                    <w:div w:id="20127246">
                      <w:marLeft w:val="0"/>
                      <w:marRight w:val="0"/>
                      <w:marTop w:val="0"/>
                      <w:marBottom w:val="0"/>
                      <w:divBdr>
                        <w:top w:val="none" w:sz="0" w:space="0" w:color="auto"/>
                        <w:left w:val="none" w:sz="0" w:space="0" w:color="auto"/>
                        <w:bottom w:val="none" w:sz="0" w:space="0" w:color="auto"/>
                        <w:right w:val="none" w:sz="0" w:space="0" w:color="auto"/>
                      </w:divBdr>
                    </w:div>
                  </w:divsChild>
                </w:div>
                <w:div w:id="1801344669">
                  <w:marLeft w:val="0"/>
                  <w:marRight w:val="0"/>
                  <w:marTop w:val="0"/>
                  <w:marBottom w:val="0"/>
                  <w:divBdr>
                    <w:top w:val="none" w:sz="0" w:space="0" w:color="auto"/>
                    <w:left w:val="none" w:sz="0" w:space="0" w:color="auto"/>
                    <w:bottom w:val="none" w:sz="0" w:space="0" w:color="auto"/>
                    <w:right w:val="none" w:sz="0" w:space="0" w:color="auto"/>
                  </w:divBdr>
                  <w:divsChild>
                    <w:div w:id="1865360282">
                      <w:marLeft w:val="0"/>
                      <w:marRight w:val="0"/>
                      <w:marTop w:val="0"/>
                      <w:marBottom w:val="0"/>
                      <w:divBdr>
                        <w:top w:val="none" w:sz="0" w:space="0" w:color="auto"/>
                        <w:left w:val="none" w:sz="0" w:space="0" w:color="auto"/>
                        <w:bottom w:val="none" w:sz="0" w:space="0" w:color="auto"/>
                        <w:right w:val="none" w:sz="0" w:space="0" w:color="auto"/>
                      </w:divBdr>
                    </w:div>
                  </w:divsChild>
                </w:div>
                <w:div w:id="818153438">
                  <w:marLeft w:val="0"/>
                  <w:marRight w:val="0"/>
                  <w:marTop w:val="0"/>
                  <w:marBottom w:val="0"/>
                  <w:divBdr>
                    <w:top w:val="none" w:sz="0" w:space="0" w:color="auto"/>
                    <w:left w:val="none" w:sz="0" w:space="0" w:color="auto"/>
                    <w:bottom w:val="none" w:sz="0" w:space="0" w:color="auto"/>
                    <w:right w:val="none" w:sz="0" w:space="0" w:color="auto"/>
                  </w:divBdr>
                  <w:divsChild>
                    <w:div w:id="1902472688">
                      <w:marLeft w:val="0"/>
                      <w:marRight w:val="0"/>
                      <w:marTop w:val="0"/>
                      <w:marBottom w:val="0"/>
                      <w:divBdr>
                        <w:top w:val="none" w:sz="0" w:space="0" w:color="auto"/>
                        <w:left w:val="none" w:sz="0" w:space="0" w:color="auto"/>
                        <w:bottom w:val="none" w:sz="0" w:space="0" w:color="auto"/>
                        <w:right w:val="none" w:sz="0" w:space="0" w:color="auto"/>
                      </w:divBdr>
                    </w:div>
                  </w:divsChild>
                </w:div>
                <w:div w:id="245069010">
                  <w:marLeft w:val="0"/>
                  <w:marRight w:val="0"/>
                  <w:marTop w:val="0"/>
                  <w:marBottom w:val="0"/>
                  <w:divBdr>
                    <w:top w:val="none" w:sz="0" w:space="0" w:color="auto"/>
                    <w:left w:val="none" w:sz="0" w:space="0" w:color="auto"/>
                    <w:bottom w:val="none" w:sz="0" w:space="0" w:color="auto"/>
                    <w:right w:val="none" w:sz="0" w:space="0" w:color="auto"/>
                  </w:divBdr>
                  <w:divsChild>
                    <w:div w:id="1466695810">
                      <w:marLeft w:val="0"/>
                      <w:marRight w:val="0"/>
                      <w:marTop w:val="0"/>
                      <w:marBottom w:val="0"/>
                      <w:divBdr>
                        <w:top w:val="none" w:sz="0" w:space="0" w:color="auto"/>
                        <w:left w:val="none" w:sz="0" w:space="0" w:color="auto"/>
                        <w:bottom w:val="none" w:sz="0" w:space="0" w:color="auto"/>
                        <w:right w:val="none" w:sz="0" w:space="0" w:color="auto"/>
                      </w:divBdr>
                    </w:div>
                  </w:divsChild>
                </w:div>
                <w:div w:id="1718772350">
                  <w:marLeft w:val="0"/>
                  <w:marRight w:val="0"/>
                  <w:marTop w:val="0"/>
                  <w:marBottom w:val="0"/>
                  <w:divBdr>
                    <w:top w:val="none" w:sz="0" w:space="0" w:color="auto"/>
                    <w:left w:val="none" w:sz="0" w:space="0" w:color="auto"/>
                    <w:bottom w:val="none" w:sz="0" w:space="0" w:color="auto"/>
                    <w:right w:val="none" w:sz="0" w:space="0" w:color="auto"/>
                  </w:divBdr>
                  <w:divsChild>
                    <w:div w:id="1196772420">
                      <w:marLeft w:val="0"/>
                      <w:marRight w:val="0"/>
                      <w:marTop w:val="0"/>
                      <w:marBottom w:val="0"/>
                      <w:divBdr>
                        <w:top w:val="none" w:sz="0" w:space="0" w:color="auto"/>
                        <w:left w:val="none" w:sz="0" w:space="0" w:color="auto"/>
                        <w:bottom w:val="none" w:sz="0" w:space="0" w:color="auto"/>
                        <w:right w:val="none" w:sz="0" w:space="0" w:color="auto"/>
                      </w:divBdr>
                    </w:div>
                  </w:divsChild>
                </w:div>
                <w:div w:id="1355575980">
                  <w:marLeft w:val="0"/>
                  <w:marRight w:val="0"/>
                  <w:marTop w:val="0"/>
                  <w:marBottom w:val="0"/>
                  <w:divBdr>
                    <w:top w:val="none" w:sz="0" w:space="0" w:color="auto"/>
                    <w:left w:val="none" w:sz="0" w:space="0" w:color="auto"/>
                    <w:bottom w:val="none" w:sz="0" w:space="0" w:color="auto"/>
                    <w:right w:val="none" w:sz="0" w:space="0" w:color="auto"/>
                  </w:divBdr>
                  <w:divsChild>
                    <w:div w:id="753169001">
                      <w:marLeft w:val="0"/>
                      <w:marRight w:val="0"/>
                      <w:marTop w:val="0"/>
                      <w:marBottom w:val="0"/>
                      <w:divBdr>
                        <w:top w:val="none" w:sz="0" w:space="0" w:color="auto"/>
                        <w:left w:val="none" w:sz="0" w:space="0" w:color="auto"/>
                        <w:bottom w:val="none" w:sz="0" w:space="0" w:color="auto"/>
                        <w:right w:val="none" w:sz="0" w:space="0" w:color="auto"/>
                      </w:divBdr>
                    </w:div>
                  </w:divsChild>
                </w:div>
                <w:div w:id="2082829733">
                  <w:marLeft w:val="0"/>
                  <w:marRight w:val="0"/>
                  <w:marTop w:val="0"/>
                  <w:marBottom w:val="0"/>
                  <w:divBdr>
                    <w:top w:val="none" w:sz="0" w:space="0" w:color="auto"/>
                    <w:left w:val="none" w:sz="0" w:space="0" w:color="auto"/>
                    <w:bottom w:val="none" w:sz="0" w:space="0" w:color="auto"/>
                    <w:right w:val="none" w:sz="0" w:space="0" w:color="auto"/>
                  </w:divBdr>
                  <w:divsChild>
                    <w:div w:id="1560019197">
                      <w:marLeft w:val="0"/>
                      <w:marRight w:val="0"/>
                      <w:marTop w:val="0"/>
                      <w:marBottom w:val="0"/>
                      <w:divBdr>
                        <w:top w:val="none" w:sz="0" w:space="0" w:color="auto"/>
                        <w:left w:val="none" w:sz="0" w:space="0" w:color="auto"/>
                        <w:bottom w:val="none" w:sz="0" w:space="0" w:color="auto"/>
                        <w:right w:val="none" w:sz="0" w:space="0" w:color="auto"/>
                      </w:divBdr>
                    </w:div>
                  </w:divsChild>
                </w:div>
                <w:div w:id="253436819">
                  <w:marLeft w:val="0"/>
                  <w:marRight w:val="0"/>
                  <w:marTop w:val="0"/>
                  <w:marBottom w:val="0"/>
                  <w:divBdr>
                    <w:top w:val="none" w:sz="0" w:space="0" w:color="auto"/>
                    <w:left w:val="none" w:sz="0" w:space="0" w:color="auto"/>
                    <w:bottom w:val="none" w:sz="0" w:space="0" w:color="auto"/>
                    <w:right w:val="none" w:sz="0" w:space="0" w:color="auto"/>
                  </w:divBdr>
                  <w:divsChild>
                    <w:div w:id="1628075867">
                      <w:marLeft w:val="0"/>
                      <w:marRight w:val="0"/>
                      <w:marTop w:val="0"/>
                      <w:marBottom w:val="0"/>
                      <w:divBdr>
                        <w:top w:val="none" w:sz="0" w:space="0" w:color="auto"/>
                        <w:left w:val="none" w:sz="0" w:space="0" w:color="auto"/>
                        <w:bottom w:val="none" w:sz="0" w:space="0" w:color="auto"/>
                        <w:right w:val="none" w:sz="0" w:space="0" w:color="auto"/>
                      </w:divBdr>
                    </w:div>
                  </w:divsChild>
                </w:div>
                <w:div w:id="758672539">
                  <w:marLeft w:val="0"/>
                  <w:marRight w:val="0"/>
                  <w:marTop w:val="0"/>
                  <w:marBottom w:val="0"/>
                  <w:divBdr>
                    <w:top w:val="none" w:sz="0" w:space="0" w:color="auto"/>
                    <w:left w:val="none" w:sz="0" w:space="0" w:color="auto"/>
                    <w:bottom w:val="none" w:sz="0" w:space="0" w:color="auto"/>
                    <w:right w:val="none" w:sz="0" w:space="0" w:color="auto"/>
                  </w:divBdr>
                  <w:divsChild>
                    <w:div w:id="1321691992">
                      <w:marLeft w:val="0"/>
                      <w:marRight w:val="0"/>
                      <w:marTop w:val="0"/>
                      <w:marBottom w:val="0"/>
                      <w:divBdr>
                        <w:top w:val="none" w:sz="0" w:space="0" w:color="auto"/>
                        <w:left w:val="none" w:sz="0" w:space="0" w:color="auto"/>
                        <w:bottom w:val="none" w:sz="0" w:space="0" w:color="auto"/>
                        <w:right w:val="none" w:sz="0" w:space="0" w:color="auto"/>
                      </w:divBdr>
                    </w:div>
                  </w:divsChild>
                </w:div>
                <w:div w:id="623656138">
                  <w:marLeft w:val="0"/>
                  <w:marRight w:val="0"/>
                  <w:marTop w:val="0"/>
                  <w:marBottom w:val="0"/>
                  <w:divBdr>
                    <w:top w:val="none" w:sz="0" w:space="0" w:color="auto"/>
                    <w:left w:val="none" w:sz="0" w:space="0" w:color="auto"/>
                    <w:bottom w:val="none" w:sz="0" w:space="0" w:color="auto"/>
                    <w:right w:val="none" w:sz="0" w:space="0" w:color="auto"/>
                  </w:divBdr>
                  <w:divsChild>
                    <w:div w:id="283773143">
                      <w:marLeft w:val="0"/>
                      <w:marRight w:val="0"/>
                      <w:marTop w:val="0"/>
                      <w:marBottom w:val="0"/>
                      <w:divBdr>
                        <w:top w:val="none" w:sz="0" w:space="0" w:color="auto"/>
                        <w:left w:val="none" w:sz="0" w:space="0" w:color="auto"/>
                        <w:bottom w:val="none" w:sz="0" w:space="0" w:color="auto"/>
                        <w:right w:val="none" w:sz="0" w:space="0" w:color="auto"/>
                      </w:divBdr>
                    </w:div>
                  </w:divsChild>
                </w:div>
                <w:div w:id="1538732979">
                  <w:marLeft w:val="0"/>
                  <w:marRight w:val="0"/>
                  <w:marTop w:val="0"/>
                  <w:marBottom w:val="0"/>
                  <w:divBdr>
                    <w:top w:val="none" w:sz="0" w:space="0" w:color="auto"/>
                    <w:left w:val="none" w:sz="0" w:space="0" w:color="auto"/>
                    <w:bottom w:val="none" w:sz="0" w:space="0" w:color="auto"/>
                    <w:right w:val="none" w:sz="0" w:space="0" w:color="auto"/>
                  </w:divBdr>
                  <w:divsChild>
                    <w:div w:id="440303567">
                      <w:marLeft w:val="0"/>
                      <w:marRight w:val="0"/>
                      <w:marTop w:val="0"/>
                      <w:marBottom w:val="0"/>
                      <w:divBdr>
                        <w:top w:val="none" w:sz="0" w:space="0" w:color="auto"/>
                        <w:left w:val="none" w:sz="0" w:space="0" w:color="auto"/>
                        <w:bottom w:val="none" w:sz="0" w:space="0" w:color="auto"/>
                        <w:right w:val="none" w:sz="0" w:space="0" w:color="auto"/>
                      </w:divBdr>
                    </w:div>
                  </w:divsChild>
                </w:div>
                <w:div w:id="1582368553">
                  <w:marLeft w:val="0"/>
                  <w:marRight w:val="0"/>
                  <w:marTop w:val="0"/>
                  <w:marBottom w:val="0"/>
                  <w:divBdr>
                    <w:top w:val="none" w:sz="0" w:space="0" w:color="auto"/>
                    <w:left w:val="none" w:sz="0" w:space="0" w:color="auto"/>
                    <w:bottom w:val="none" w:sz="0" w:space="0" w:color="auto"/>
                    <w:right w:val="none" w:sz="0" w:space="0" w:color="auto"/>
                  </w:divBdr>
                  <w:divsChild>
                    <w:div w:id="1975477427">
                      <w:marLeft w:val="0"/>
                      <w:marRight w:val="0"/>
                      <w:marTop w:val="0"/>
                      <w:marBottom w:val="0"/>
                      <w:divBdr>
                        <w:top w:val="none" w:sz="0" w:space="0" w:color="auto"/>
                        <w:left w:val="none" w:sz="0" w:space="0" w:color="auto"/>
                        <w:bottom w:val="none" w:sz="0" w:space="0" w:color="auto"/>
                        <w:right w:val="none" w:sz="0" w:space="0" w:color="auto"/>
                      </w:divBdr>
                    </w:div>
                  </w:divsChild>
                </w:div>
                <w:div w:id="1877541687">
                  <w:marLeft w:val="0"/>
                  <w:marRight w:val="0"/>
                  <w:marTop w:val="0"/>
                  <w:marBottom w:val="0"/>
                  <w:divBdr>
                    <w:top w:val="none" w:sz="0" w:space="0" w:color="auto"/>
                    <w:left w:val="none" w:sz="0" w:space="0" w:color="auto"/>
                    <w:bottom w:val="none" w:sz="0" w:space="0" w:color="auto"/>
                    <w:right w:val="none" w:sz="0" w:space="0" w:color="auto"/>
                  </w:divBdr>
                  <w:divsChild>
                    <w:div w:id="988553641">
                      <w:marLeft w:val="0"/>
                      <w:marRight w:val="0"/>
                      <w:marTop w:val="0"/>
                      <w:marBottom w:val="0"/>
                      <w:divBdr>
                        <w:top w:val="none" w:sz="0" w:space="0" w:color="auto"/>
                        <w:left w:val="none" w:sz="0" w:space="0" w:color="auto"/>
                        <w:bottom w:val="none" w:sz="0" w:space="0" w:color="auto"/>
                        <w:right w:val="none" w:sz="0" w:space="0" w:color="auto"/>
                      </w:divBdr>
                    </w:div>
                  </w:divsChild>
                </w:div>
                <w:div w:id="1939755774">
                  <w:marLeft w:val="0"/>
                  <w:marRight w:val="0"/>
                  <w:marTop w:val="0"/>
                  <w:marBottom w:val="0"/>
                  <w:divBdr>
                    <w:top w:val="none" w:sz="0" w:space="0" w:color="auto"/>
                    <w:left w:val="none" w:sz="0" w:space="0" w:color="auto"/>
                    <w:bottom w:val="none" w:sz="0" w:space="0" w:color="auto"/>
                    <w:right w:val="none" w:sz="0" w:space="0" w:color="auto"/>
                  </w:divBdr>
                  <w:divsChild>
                    <w:div w:id="1324317721">
                      <w:marLeft w:val="0"/>
                      <w:marRight w:val="0"/>
                      <w:marTop w:val="0"/>
                      <w:marBottom w:val="0"/>
                      <w:divBdr>
                        <w:top w:val="none" w:sz="0" w:space="0" w:color="auto"/>
                        <w:left w:val="none" w:sz="0" w:space="0" w:color="auto"/>
                        <w:bottom w:val="none" w:sz="0" w:space="0" w:color="auto"/>
                        <w:right w:val="none" w:sz="0" w:space="0" w:color="auto"/>
                      </w:divBdr>
                    </w:div>
                  </w:divsChild>
                </w:div>
                <w:div w:id="946888099">
                  <w:marLeft w:val="0"/>
                  <w:marRight w:val="0"/>
                  <w:marTop w:val="0"/>
                  <w:marBottom w:val="0"/>
                  <w:divBdr>
                    <w:top w:val="none" w:sz="0" w:space="0" w:color="auto"/>
                    <w:left w:val="none" w:sz="0" w:space="0" w:color="auto"/>
                    <w:bottom w:val="none" w:sz="0" w:space="0" w:color="auto"/>
                    <w:right w:val="none" w:sz="0" w:space="0" w:color="auto"/>
                  </w:divBdr>
                  <w:divsChild>
                    <w:div w:id="1848131470">
                      <w:marLeft w:val="0"/>
                      <w:marRight w:val="0"/>
                      <w:marTop w:val="0"/>
                      <w:marBottom w:val="0"/>
                      <w:divBdr>
                        <w:top w:val="none" w:sz="0" w:space="0" w:color="auto"/>
                        <w:left w:val="none" w:sz="0" w:space="0" w:color="auto"/>
                        <w:bottom w:val="none" w:sz="0" w:space="0" w:color="auto"/>
                        <w:right w:val="none" w:sz="0" w:space="0" w:color="auto"/>
                      </w:divBdr>
                    </w:div>
                  </w:divsChild>
                </w:div>
                <w:div w:id="1936330035">
                  <w:marLeft w:val="0"/>
                  <w:marRight w:val="0"/>
                  <w:marTop w:val="0"/>
                  <w:marBottom w:val="0"/>
                  <w:divBdr>
                    <w:top w:val="none" w:sz="0" w:space="0" w:color="auto"/>
                    <w:left w:val="none" w:sz="0" w:space="0" w:color="auto"/>
                    <w:bottom w:val="none" w:sz="0" w:space="0" w:color="auto"/>
                    <w:right w:val="none" w:sz="0" w:space="0" w:color="auto"/>
                  </w:divBdr>
                  <w:divsChild>
                    <w:div w:id="1830515109">
                      <w:marLeft w:val="0"/>
                      <w:marRight w:val="0"/>
                      <w:marTop w:val="0"/>
                      <w:marBottom w:val="0"/>
                      <w:divBdr>
                        <w:top w:val="none" w:sz="0" w:space="0" w:color="auto"/>
                        <w:left w:val="none" w:sz="0" w:space="0" w:color="auto"/>
                        <w:bottom w:val="none" w:sz="0" w:space="0" w:color="auto"/>
                        <w:right w:val="none" w:sz="0" w:space="0" w:color="auto"/>
                      </w:divBdr>
                    </w:div>
                  </w:divsChild>
                </w:div>
                <w:div w:id="224921671">
                  <w:marLeft w:val="0"/>
                  <w:marRight w:val="0"/>
                  <w:marTop w:val="0"/>
                  <w:marBottom w:val="0"/>
                  <w:divBdr>
                    <w:top w:val="none" w:sz="0" w:space="0" w:color="auto"/>
                    <w:left w:val="none" w:sz="0" w:space="0" w:color="auto"/>
                    <w:bottom w:val="none" w:sz="0" w:space="0" w:color="auto"/>
                    <w:right w:val="none" w:sz="0" w:space="0" w:color="auto"/>
                  </w:divBdr>
                  <w:divsChild>
                    <w:div w:id="1640575423">
                      <w:marLeft w:val="0"/>
                      <w:marRight w:val="0"/>
                      <w:marTop w:val="0"/>
                      <w:marBottom w:val="0"/>
                      <w:divBdr>
                        <w:top w:val="none" w:sz="0" w:space="0" w:color="auto"/>
                        <w:left w:val="none" w:sz="0" w:space="0" w:color="auto"/>
                        <w:bottom w:val="none" w:sz="0" w:space="0" w:color="auto"/>
                        <w:right w:val="none" w:sz="0" w:space="0" w:color="auto"/>
                      </w:divBdr>
                    </w:div>
                  </w:divsChild>
                </w:div>
                <w:div w:id="1856993350">
                  <w:marLeft w:val="0"/>
                  <w:marRight w:val="0"/>
                  <w:marTop w:val="0"/>
                  <w:marBottom w:val="0"/>
                  <w:divBdr>
                    <w:top w:val="none" w:sz="0" w:space="0" w:color="auto"/>
                    <w:left w:val="none" w:sz="0" w:space="0" w:color="auto"/>
                    <w:bottom w:val="none" w:sz="0" w:space="0" w:color="auto"/>
                    <w:right w:val="none" w:sz="0" w:space="0" w:color="auto"/>
                  </w:divBdr>
                  <w:divsChild>
                    <w:div w:id="440733716">
                      <w:marLeft w:val="0"/>
                      <w:marRight w:val="0"/>
                      <w:marTop w:val="0"/>
                      <w:marBottom w:val="0"/>
                      <w:divBdr>
                        <w:top w:val="none" w:sz="0" w:space="0" w:color="auto"/>
                        <w:left w:val="none" w:sz="0" w:space="0" w:color="auto"/>
                        <w:bottom w:val="none" w:sz="0" w:space="0" w:color="auto"/>
                        <w:right w:val="none" w:sz="0" w:space="0" w:color="auto"/>
                      </w:divBdr>
                    </w:div>
                  </w:divsChild>
                </w:div>
                <w:div w:id="1860771322">
                  <w:marLeft w:val="0"/>
                  <w:marRight w:val="0"/>
                  <w:marTop w:val="0"/>
                  <w:marBottom w:val="0"/>
                  <w:divBdr>
                    <w:top w:val="none" w:sz="0" w:space="0" w:color="auto"/>
                    <w:left w:val="none" w:sz="0" w:space="0" w:color="auto"/>
                    <w:bottom w:val="none" w:sz="0" w:space="0" w:color="auto"/>
                    <w:right w:val="none" w:sz="0" w:space="0" w:color="auto"/>
                  </w:divBdr>
                  <w:divsChild>
                    <w:div w:id="90750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209928">
          <w:marLeft w:val="0"/>
          <w:marRight w:val="0"/>
          <w:marTop w:val="0"/>
          <w:marBottom w:val="0"/>
          <w:divBdr>
            <w:top w:val="none" w:sz="0" w:space="0" w:color="auto"/>
            <w:left w:val="none" w:sz="0" w:space="0" w:color="auto"/>
            <w:bottom w:val="none" w:sz="0" w:space="0" w:color="auto"/>
            <w:right w:val="none" w:sz="0" w:space="0" w:color="auto"/>
          </w:divBdr>
        </w:div>
        <w:div w:id="392122457">
          <w:marLeft w:val="0"/>
          <w:marRight w:val="0"/>
          <w:marTop w:val="0"/>
          <w:marBottom w:val="0"/>
          <w:divBdr>
            <w:top w:val="none" w:sz="0" w:space="0" w:color="auto"/>
            <w:left w:val="none" w:sz="0" w:space="0" w:color="auto"/>
            <w:bottom w:val="none" w:sz="0" w:space="0" w:color="auto"/>
            <w:right w:val="none" w:sz="0" w:space="0" w:color="auto"/>
          </w:divBdr>
          <w:divsChild>
            <w:div w:id="591092039">
              <w:marLeft w:val="-75"/>
              <w:marRight w:val="0"/>
              <w:marTop w:val="30"/>
              <w:marBottom w:val="30"/>
              <w:divBdr>
                <w:top w:val="none" w:sz="0" w:space="0" w:color="auto"/>
                <w:left w:val="none" w:sz="0" w:space="0" w:color="auto"/>
                <w:bottom w:val="none" w:sz="0" w:space="0" w:color="auto"/>
                <w:right w:val="none" w:sz="0" w:space="0" w:color="auto"/>
              </w:divBdr>
              <w:divsChild>
                <w:div w:id="1878852836">
                  <w:marLeft w:val="0"/>
                  <w:marRight w:val="0"/>
                  <w:marTop w:val="0"/>
                  <w:marBottom w:val="0"/>
                  <w:divBdr>
                    <w:top w:val="none" w:sz="0" w:space="0" w:color="auto"/>
                    <w:left w:val="none" w:sz="0" w:space="0" w:color="auto"/>
                    <w:bottom w:val="none" w:sz="0" w:space="0" w:color="auto"/>
                    <w:right w:val="none" w:sz="0" w:space="0" w:color="auto"/>
                  </w:divBdr>
                  <w:divsChild>
                    <w:div w:id="1653950215">
                      <w:marLeft w:val="0"/>
                      <w:marRight w:val="0"/>
                      <w:marTop w:val="0"/>
                      <w:marBottom w:val="0"/>
                      <w:divBdr>
                        <w:top w:val="none" w:sz="0" w:space="0" w:color="auto"/>
                        <w:left w:val="none" w:sz="0" w:space="0" w:color="auto"/>
                        <w:bottom w:val="none" w:sz="0" w:space="0" w:color="auto"/>
                        <w:right w:val="none" w:sz="0" w:space="0" w:color="auto"/>
                      </w:divBdr>
                    </w:div>
                  </w:divsChild>
                </w:div>
                <w:div w:id="1659268612">
                  <w:marLeft w:val="0"/>
                  <w:marRight w:val="0"/>
                  <w:marTop w:val="0"/>
                  <w:marBottom w:val="0"/>
                  <w:divBdr>
                    <w:top w:val="none" w:sz="0" w:space="0" w:color="auto"/>
                    <w:left w:val="none" w:sz="0" w:space="0" w:color="auto"/>
                    <w:bottom w:val="none" w:sz="0" w:space="0" w:color="auto"/>
                    <w:right w:val="none" w:sz="0" w:space="0" w:color="auto"/>
                  </w:divBdr>
                  <w:divsChild>
                    <w:div w:id="379209462">
                      <w:marLeft w:val="0"/>
                      <w:marRight w:val="0"/>
                      <w:marTop w:val="0"/>
                      <w:marBottom w:val="0"/>
                      <w:divBdr>
                        <w:top w:val="none" w:sz="0" w:space="0" w:color="auto"/>
                        <w:left w:val="none" w:sz="0" w:space="0" w:color="auto"/>
                        <w:bottom w:val="none" w:sz="0" w:space="0" w:color="auto"/>
                        <w:right w:val="none" w:sz="0" w:space="0" w:color="auto"/>
                      </w:divBdr>
                    </w:div>
                  </w:divsChild>
                </w:div>
                <w:div w:id="140116643">
                  <w:marLeft w:val="0"/>
                  <w:marRight w:val="0"/>
                  <w:marTop w:val="0"/>
                  <w:marBottom w:val="0"/>
                  <w:divBdr>
                    <w:top w:val="none" w:sz="0" w:space="0" w:color="auto"/>
                    <w:left w:val="none" w:sz="0" w:space="0" w:color="auto"/>
                    <w:bottom w:val="none" w:sz="0" w:space="0" w:color="auto"/>
                    <w:right w:val="none" w:sz="0" w:space="0" w:color="auto"/>
                  </w:divBdr>
                  <w:divsChild>
                    <w:div w:id="1061714072">
                      <w:marLeft w:val="0"/>
                      <w:marRight w:val="0"/>
                      <w:marTop w:val="0"/>
                      <w:marBottom w:val="0"/>
                      <w:divBdr>
                        <w:top w:val="none" w:sz="0" w:space="0" w:color="auto"/>
                        <w:left w:val="none" w:sz="0" w:space="0" w:color="auto"/>
                        <w:bottom w:val="none" w:sz="0" w:space="0" w:color="auto"/>
                        <w:right w:val="none" w:sz="0" w:space="0" w:color="auto"/>
                      </w:divBdr>
                    </w:div>
                  </w:divsChild>
                </w:div>
                <w:div w:id="1728455740">
                  <w:marLeft w:val="0"/>
                  <w:marRight w:val="0"/>
                  <w:marTop w:val="0"/>
                  <w:marBottom w:val="0"/>
                  <w:divBdr>
                    <w:top w:val="none" w:sz="0" w:space="0" w:color="auto"/>
                    <w:left w:val="none" w:sz="0" w:space="0" w:color="auto"/>
                    <w:bottom w:val="none" w:sz="0" w:space="0" w:color="auto"/>
                    <w:right w:val="none" w:sz="0" w:space="0" w:color="auto"/>
                  </w:divBdr>
                  <w:divsChild>
                    <w:div w:id="1044331133">
                      <w:marLeft w:val="0"/>
                      <w:marRight w:val="0"/>
                      <w:marTop w:val="0"/>
                      <w:marBottom w:val="0"/>
                      <w:divBdr>
                        <w:top w:val="none" w:sz="0" w:space="0" w:color="auto"/>
                        <w:left w:val="none" w:sz="0" w:space="0" w:color="auto"/>
                        <w:bottom w:val="none" w:sz="0" w:space="0" w:color="auto"/>
                        <w:right w:val="none" w:sz="0" w:space="0" w:color="auto"/>
                      </w:divBdr>
                    </w:div>
                  </w:divsChild>
                </w:div>
                <w:div w:id="155539133">
                  <w:marLeft w:val="0"/>
                  <w:marRight w:val="0"/>
                  <w:marTop w:val="0"/>
                  <w:marBottom w:val="0"/>
                  <w:divBdr>
                    <w:top w:val="none" w:sz="0" w:space="0" w:color="auto"/>
                    <w:left w:val="none" w:sz="0" w:space="0" w:color="auto"/>
                    <w:bottom w:val="none" w:sz="0" w:space="0" w:color="auto"/>
                    <w:right w:val="none" w:sz="0" w:space="0" w:color="auto"/>
                  </w:divBdr>
                  <w:divsChild>
                    <w:div w:id="597637945">
                      <w:marLeft w:val="0"/>
                      <w:marRight w:val="0"/>
                      <w:marTop w:val="0"/>
                      <w:marBottom w:val="0"/>
                      <w:divBdr>
                        <w:top w:val="none" w:sz="0" w:space="0" w:color="auto"/>
                        <w:left w:val="none" w:sz="0" w:space="0" w:color="auto"/>
                        <w:bottom w:val="none" w:sz="0" w:space="0" w:color="auto"/>
                        <w:right w:val="none" w:sz="0" w:space="0" w:color="auto"/>
                      </w:divBdr>
                    </w:div>
                  </w:divsChild>
                </w:div>
                <w:div w:id="22950332">
                  <w:marLeft w:val="0"/>
                  <w:marRight w:val="0"/>
                  <w:marTop w:val="0"/>
                  <w:marBottom w:val="0"/>
                  <w:divBdr>
                    <w:top w:val="none" w:sz="0" w:space="0" w:color="auto"/>
                    <w:left w:val="none" w:sz="0" w:space="0" w:color="auto"/>
                    <w:bottom w:val="none" w:sz="0" w:space="0" w:color="auto"/>
                    <w:right w:val="none" w:sz="0" w:space="0" w:color="auto"/>
                  </w:divBdr>
                  <w:divsChild>
                    <w:div w:id="95370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980941">
          <w:marLeft w:val="0"/>
          <w:marRight w:val="0"/>
          <w:marTop w:val="0"/>
          <w:marBottom w:val="0"/>
          <w:divBdr>
            <w:top w:val="none" w:sz="0" w:space="0" w:color="auto"/>
            <w:left w:val="none" w:sz="0" w:space="0" w:color="auto"/>
            <w:bottom w:val="none" w:sz="0" w:space="0" w:color="auto"/>
            <w:right w:val="none" w:sz="0" w:space="0" w:color="auto"/>
          </w:divBdr>
        </w:div>
      </w:divsChild>
    </w:div>
    <w:div w:id="1277716723">
      <w:bodyDiv w:val="1"/>
      <w:marLeft w:val="0"/>
      <w:marRight w:val="0"/>
      <w:marTop w:val="0"/>
      <w:marBottom w:val="0"/>
      <w:divBdr>
        <w:top w:val="none" w:sz="0" w:space="0" w:color="auto"/>
        <w:left w:val="none" w:sz="0" w:space="0" w:color="auto"/>
        <w:bottom w:val="none" w:sz="0" w:space="0" w:color="auto"/>
        <w:right w:val="none" w:sz="0" w:space="0" w:color="auto"/>
      </w:divBdr>
    </w:div>
    <w:div w:id="1338116646">
      <w:bodyDiv w:val="1"/>
      <w:marLeft w:val="0"/>
      <w:marRight w:val="0"/>
      <w:marTop w:val="0"/>
      <w:marBottom w:val="0"/>
      <w:divBdr>
        <w:top w:val="none" w:sz="0" w:space="0" w:color="auto"/>
        <w:left w:val="none" w:sz="0" w:space="0" w:color="auto"/>
        <w:bottom w:val="none" w:sz="0" w:space="0" w:color="auto"/>
        <w:right w:val="none" w:sz="0" w:space="0" w:color="auto"/>
      </w:divBdr>
    </w:div>
    <w:div w:id="1377435841">
      <w:bodyDiv w:val="1"/>
      <w:marLeft w:val="0"/>
      <w:marRight w:val="0"/>
      <w:marTop w:val="0"/>
      <w:marBottom w:val="0"/>
      <w:divBdr>
        <w:top w:val="none" w:sz="0" w:space="0" w:color="auto"/>
        <w:left w:val="none" w:sz="0" w:space="0" w:color="auto"/>
        <w:bottom w:val="none" w:sz="0" w:space="0" w:color="auto"/>
        <w:right w:val="none" w:sz="0" w:space="0" w:color="auto"/>
      </w:divBdr>
    </w:div>
    <w:div w:id="1519539755">
      <w:bodyDiv w:val="1"/>
      <w:marLeft w:val="0"/>
      <w:marRight w:val="0"/>
      <w:marTop w:val="0"/>
      <w:marBottom w:val="0"/>
      <w:divBdr>
        <w:top w:val="none" w:sz="0" w:space="0" w:color="auto"/>
        <w:left w:val="none" w:sz="0" w:space="0" w:color="auto"/>
        <w:bottom w:val="none" w:sz="0" w:space="0" w:color="auto"/>
        <w:right w:val="none" w:sz="0" w:space="0" w:color="auto"/>
      </w:divBdr>
      <w:divsChild>
        <w:div w:id="1743335688">
          <w:marLeft w:val="0"/>
          <w:marRight w:val="0"/>
          <w:marTop w:val="0"/>
          <w:marBottom w:val="0"/>
          <w:divBdr>
            <w:top w:val="none" w:sz="0" w:space="0" w:color="auto"/>
            <w:left w:val="none" w:sz="0" w:space="0" w:color="auto"/>
            <w:bottom w:val="none" w:sz="0" w:space="0" w:color="auto"/>
            <w:right w:val="none" w:sz="0" w:space="0" w:color="auto"/>
          </w:divBdr>
        </w:div>
        <w:div w:id="648677118">
          <w:marLeft w:val="0"/>
          <w:marRight w:val="0"/>
          <w:marTop w:val="0"/>
          <w:marBottom w:val="0"/>
          <w:divBdr>
            <w:top w:val="none" w:sz="0" w:space="0" w:color="auto"/>
            <w:left w:val="none" w:sz="0" w:space="0" w:color="auto"/>
            <w:bottom w:val="none" w:sz="0" w:space="0" w:color="auto"/>
            <w:right w:val="none" w:sz="0" w:space="0" w:color="auto"/>
          </w:divBdr>
        </w:div>
        <w:div w:id="932396040">
          <w:marLeft w:val="0"/>
          <w:marRight w:val="0"/>
          <w:marTop w:val="0"/>
          <w:marBottom w:val="0"/>
          <w:divBdr>
            <w:top w:val="none" w:sz="0" w:space="0" w:color="auto"/>
            <w:left w:val="none" w:sz="0" w:space="0" w:color="auto"/>
            <w:bottom w:val="none" w:sz="0" w:space="0" w:color="auto"/>
            <w:right w:val="none" w:sz="0" w:space="0" w:color="auto"/>
          </w:divBdr>
          <w:divsChild>
            <w:div w:id="158349274">
              <w:marLeft w:val="-75"/>
              <w:marRight w:val="0"/>
              <w:marTop w:val="30"/>
              <w:marBottom w:val="30"/>
              <w:divBdr>
                <w:top w:val="none" w:sz="0" w:space="0" w:color="auto"/>
                <w:left w:val="none" w:sz="0" w:space="0" w:color="auto"/>
                <w:bottom w:val="none" w:sz="0" w:space="0" w:color="auto"/>
                <w:right w:val="none" w:sz="0" w:space="0" w:color="auto"/>
              </w:divBdr>
              <w:divsChild>
                <w:div w:id="1750079155">
                  <w:marLeft w:val="0"/>
                  <w:marRight w:val="0"/>
                  <w:marTop w:val="0"/>
                  <w:marBottom w:val="0"/>
                  <w:divBdr>
                    <w:top w:val="none" w:sz="0" w:space="0" w:color="auto"/>
                    <w:left w:val="none" w:sz="0" w:space="0" w:color="auto"/>
                    <w:bottom w:val="none" w:sz="0" w:space="0" w:color="auto"/>
                    <w:right w:val="none" w:sz="0" w:space="0" w:color="auto"/>
                  </w:divBdr>
                  <w:divsChild>
                    <w:div w:id="1371145906">
                      <w:marLeft w:val="0"/>
                      <w:marRight w:val="0"/>
                      <w:marTop w:val="0"/>
                      <w:marBottom w:val="0"/>
                      <w:divBdr>
                        <w:top w:val="none" w:sz="0" w:space="0" w:color="auto"/>
                        <w:left w:val="none" w:sz="0" w:space="0" w:color="auto"/>
                        <w:bottom w:val="none" w:sz="0" w:space="0" w:color="auto"/>
                        <w:right w:val="none" w:sz="0" w:space="0" w:color="auto"/>
                      </w:divBdr>
                    </w:div>
                  </w:divsChild>
                </w:div>
                <w:div w:id="1876115084">
                  <w:marLeft w:val="0"/>
                  <w:marRight w:val="0"/>
                  <w:marTop w:val="0"/>
                  <w:marBottom w:val="0"/>
                  <w:divBdr>
                    <w:top w:val="none" w:sz="0" w:space="0" w:color="auto"/>
                    <w:left w:val="none" w:sz="0" w:space="0" w:color="auto"/>
                    <w:bottom w:val="none" w:sz="0" w:space="0" w:color="auto"/>
                    <w:right w:val="none" w:sz="0" w:space="0" w:color="auto"/>
                  </w:divBdr>
                  <w:divsChild>
                    <w:div w:id="1923833602">
                      <w:marLeft w:val="0"/>
                      <w:marRight w:val="0"/>
                      <w:marTop w:val="0"/>
                      <w:marBottom w:val="0"/>
                      <w:divBdr>
                        <w:top w:val="none" w:sz="0" w:space="0" w:color="auto"/>
                        <w:left w:val="none" w:sz="0" w:space="0" w:color="auto"/>
                        <w:bottom w:val="none" w:sz="0" w:space="0" w:color="auto"/>
                        <w:right w:val="none" w:sz="0" w:space="0" w:color="auto"/>
                      </w:divBdr>
                    </w:div>
                  </w:divsChild>
                </w:div>
                <w:div w:id="694841899">
                  <w:marLeft w:val="0"/>
                  <w:marRight w:val="0"/>
                  <w:marTop w:val="0"/>
                  <w:marBottom w:val="0"/>
                  <w:divBdr>
                    <w:top w:val="none" w:sz="0" w:space="0" w:color="auto"/>
                    <w:left w:val="none" w:sz="0" w:space="0" w:color="auto"/>
                    <w:bottom w:val="none" w:sz="0" w:space="0" w:color="auto"/>
                    <w:right w:val="none" w:sz="0" w:space="0" w:color="auto"/>
                  </w:divBdr>
                  <w:divsChild>
                    <w:div w:id="393889661">
                      <w:marLeft w:val="0"/>
                      <w:marRight w:val="0"/>
                      <w:marTop w:val="0"/>
                      <w:marBottom w:val="0"/>
                      <w:divBdr>
                        <w:top w:val="none" w:sz="0" w:space="0" w:color="auto"/>
                        <w:left w:val="none" w:sz="0" w:space="0" w:color="auto"/>
                        <w:bottom w:val="none" w:sz="0" w:space="0" w:color="auto"/>
                        <w:right w:val="none" w:sz="0" w:space="0" w:color="auto"/>
                      </w:divBdr>
                    </w:div>
                  </w:divsChild>
                </w:div>
                <w:div w:id="1946376095">
                  <w:marLeft w:val="0"/>
                  <w:marRight w:val="0"/>
                  <w:marTop w:val="0"/>
                  <w:marBottom w:val="0"/>
                  <w:divBdr>
                    <w:top w:val="none" w:sz="0" w:space="0" w:color="auto"/>
                    <w:left w:val="none" w:sz="0" w:space="0" w:color="auto"/>
                    <w:bottom w:val="none" w:sz="0" w:space="0" w:color="auto"/>
                    <w:right w:val="none" w:sz="0" w:space="0" w:color="auto"/>
                  </w:divBdr>
                  <w:divsChild>
                    <w:div w:id="187186820">
                      <w:marLeft w:val="0"/>
                      <w:marRight w:val="0"/>
                      <w:marTop w:val="0"/>
                      <w:marBottom w:val="0"/>
                      <w:divBdr>
                        <w:top w:val="none" w:sz="0" w:space="0" w:color="auto"/>
                        <w:left w:val="none" w:sz="0" w:space="0" w:color="auto"/>
                        <w:bottom w:val="none" w:sz="0" w:space="0" w:color="auto"/>
                        <w:right w:val="none" w:sz="0" w:space="0" w:color="auto"/>
                      </w:divBdr>
                    </w:div>
                  </w:divsChild>
                </w:div>
                <w:div w:id="955912158">
                  <w:marLeft w:val="0"/>
                  <w:marRight w:val="0"/>
                  <w:marTop w:val="0"/>
                  <w:marBottom w:val="0"/>
                  <w:divBdr>
                    <w:top w:val="none" w:sz="0" w:space="0" w:color="auto"/>
                    <w:left w:val="none" w:sz="0" w:space="0" w:color="auto"/>
                    <w:bottom w:val="none" w:sz="0" w:space="0" w:color="auto"/>
                    <w:right w:val="none" w:sz="0" w:space="0" w:color="auto"/>
                  </w:divBdr>
                  <w:divsChild>
                    <w:div w:id="2116905636">
                      <w:marLeft w:val="0"/>
                      <w:marRight w:val="0"/>
                      <w:marTop w:val="0"/>
                      <w:marBottom w:val="0"/>
                      <w:divBdr>
                        <w:top w:val="none" w:sz="0" w:space="0" w:color="auto"/>
                        <w:left w:val="none" w:sz="0" w:space="0" w:color="auto"/>
                        <w:bottom w:val="none" w:sz="0" w:space="0" w:color="auto"/>
                        <w:right w:val="none" w:sz="0" w:space="0" w:color="auto"/>
                      </w:divBdr>
                    </w:div>
                  </w:divsChild>
                </w:div>
                <w:div w:id="1651247152">
                  <w:marLeft w:val="0"/>
                  <w:marRight w:val="0"/>
                  <w:marTop w:val="0"/>
                  <w:marBottom w:val="0"/>
                  <w:divBdr>
                    <w:top w:val="none" w:sz="0" w:space="0" w:color="auto"/>
                    <w:left w:val="none" w:sz="0" w:space="0" w:color="auto"/>
                    <w:bottom w:val="none" w:sz="0" w:space="0" w:color="auto"/>
                    <w:right w:val="none" w:sz="0" w:space="0" w:color="auto"/>
                  </w:divBdr>
                  <w:divsChild>
                    <w:div w:id="1034355074">
                      <w:marLeft w:val="0"/>
                      <w:marRight w:val="0"/>
                      <w:marTop w:val="0"/>
                      <w:marBottom w:val="0"/>
                      <w:divBdr>
                        <w:top w:val="none" w:sz="0" w:space="0" w:color="auto"/>
                        <w:left w:val="none" w:sz="0" w:space="0" w:color="auto"/>
                        <w:bottom w:val="none" w:sz="0" w:space="0" w:color="auto"/>
                        <w:right w:val="none" w:sz="0" w:space="0" w:color="auto"/>
                      </w:divBdr>
                    </w:div>
                  </w:divsChild>
                </w:div>
                <w:div w:id="95517313">
                  <w:marLeft w:val="0"/>
                  <w:marRight w:val="0"/>
                  <w:marTop w:val="0"/>
                  <w:marBottom w:val="0"/>
                  <w:divBdr>
                    <w:top w:val="none" w:sz="0" w:space="0" w:color="auto"/>
                    <w:left w:val="none" w:sz="0" w:space="0" w:color="auto"/>
                    <w:bottom w:val="none" w:sz="0" w:space="0" w:color="auto"/>
                    <w:right w:val="none" w:sz="0" w:space="0" w:color="auto"/>
                  </w:divBdr>
                  <w:divsChild>
                    <w:div w:id="344790825">
                      <w:marLeft w:val="0"/>
                      <w:marRight w:val="0"/>
                      <w:marTop w:val="0"/>
                      <w:marBottom w:val="0"/>
                      <w:divBdr>
                        <w:top w:val="none" w:sz="0" w:space="0" w:color="auto"/>
                        <w:left w:val="none" w:sz="0" w:space="0" w:color="auto"/>
                        <w:bottom w:val="none" w:sz="0" w:space="0" w:color="auto"/>
                        <w:right w:val="none" w:sz="0" w:space="0" w:color="auto"/>
                      </w:divBdr>
                    </w:div>
                  </w:divsChild>
                </w:div>
                <w:div w:id="1739016047">
                  <w:marLeft w:val="0"/>
                  <w:marRight w:val="0"/>
                  <w:marTop w:val="0"/>
                  <w:marBottom w:val="0"/>
                  <w:divBdr>
                    <w:top w:val="none" w:sz="0" w:space="0" w:color="auto"/>
                    <w:left w:val="none" w:sz="0" w:space="0" w:color="auto"/>
                    <w:bottom w:val="none" w:sz="0" w:space="0" w:color="auto"/>
                    <w:right w:val="none" w:sz="0" w:space="0" w:color="auto"/>
                  </w:divBdr>
                  <w:divsChild>
                    <w:div w:id="1274168494">
                      <w:marLeft w:val="0"/>
                      <w:marRight w:val="0"/>
                      <w:marTop w:val="0"/>
                      <w:marBottom w:val="0"/>
                      <w:divBdr>
                        <w:top w:val="none" w:sz="0" w:space="0" w:color="auto"/>
                        <w:left w:val="none" w:sz="0" w:space="0" w:color="auto"/>
                        <w:bottom w:val="none" w:sz="0" w:space="0" w:color="auto"/>
                        <w:right w:val="none" w:sz="0" w:space="0" w:color="auto"/>
                      </w:divBdr>
                    </w:div>
                  </w:divsChild>
                </w:div>
                <w:div w:id="1419711106">
                  <w:marLeft w:val="0"/>
                  <w:marRight w:val="0"/>
                  <w:marTop w:val="0"/>
                  <w:marBottom w:val="0"/>
                  <w:divBdr>
                    <w:top w:val="none" w:sz="0" w:space="0" w:color="auto"/>
                    <w:left w:val="none" w:sz="0" w:space="0" w:color="auto"/>
                    <w:bottom w:val="none" w:sz="0" w:space="0" w:color="auto"/>
                    <w:right w:val="none" w:sz="0" w:space="0" w:color="auto"/>
                  </w:divBdr>
                  <w:divsChild>
                    <w:div w:id="283780114">
                      <w:marLeft w:val="0"/>
                      <w:marRight w:val="0"/>
                      <w:marTop w:val="0"/>
                      <w:marBottom w:val="0"/>
                      <w:divBdr>
                        <w:top w:val="none" w:sz="0" w:space="0" w:color="auto"/>
                        <w:left w:val="none" w:sz="0" w:space="0" w:color="auto"/>
                        <w:bottom w:val="none" w:sz="0" w:space="0" w:color="auto"/>
                        <w:right w:val="none" w:sz="0" w:space="0" w:color="auto"/>
                      </w:divBdr>
                    </w:div>
                  </w:divsChild>
                </w:div>
                <w:div w:id="432820792">
                  <w:marLeft w:val="0"/>
                  <w:marRight w:val="0"/>
                  <w:marTop w:val="0"/>
                  <w:marBottom w:val="0"/>
                  <w:divBdr>
                    <w:top w:val="none" w:sz="0" w:space="0" w:color="auto"/>
                    <w:left w:val="none" w:sz="0" w:space="0" w:color="auto"/>
                    <w:bottom w:val="none" w:sz="0" w:space="0" w:color="auto"/>
                    <w:right w:val="none" w:sz="0" w:space="0" w:color="auto"/>
                  </w:divBdr>
                  <w:divsChild>
                    <w:div w:id="616370802">
                      <w:marLeft w:val="0"/>
                      <w:marRight w:val="0"/>
                      <w:marTop w:val="0"/>
                      <w:marBottom w:val="0"/>
                      <w:divBdr>
                        <w:top w:val="none" w:sz="0" w:space="0" w:color="auto"/>
                        <w:left w:val="none" w:sz="0" w:space="0" w:color="auto"/>
                        <w:bottom w:val="none" w:sz="0" w:space="0" w:color="auto"/>
                        <w:right w:val="none" w:sz="0" w:space="0" w:color="auto"/>
                      </w:divBdr>
                    </w:div>
                  </w:divsChild>
                </w:div>
                <w:div w:id="779109038">
                  <w:marLeft w:val="0"/>
                  <w:marRight w:val="0"/>
                  <w:marTop w:val="0"/>
                  <w:marBottom w:val="0"/>
                  <w:divBdr>
                    <w:top w:val="none" w:sz="0" w:space="0" w:color="auto"/>
                    <w:left w:val="none" w:sz="0" w:space="0" w:color="auto"/>
                    <w:bottom w:val="none" w:sz="0" w:space="0" w:color="auto"/>
                    <w:right w:val="none" w:sz="0" w:space="0" w:color="auto"/>
                  </w:divBdr>
                  <w:divsChild>
                    <w:div w:id="1562210977">
                      <w:marLeft w:val="0"/>
                      <w:marRight w:val="0"/>
                      <w:marTop w:val="0"/>
                      <w:marBottom w:val="0"/>
                      <w:divBdr>
                        <w:top w:val="none" w:sz="0" w:space="0" w:color="auto"/>
                        <w:left w:val="none" w:sz="0" w:space="0" w:color="auto"/>
                        <w:bottom w:val="none" w:sz="0" w:space="0" w:color="auto"/>
                        <w:right w:val="none" w:sz="0" w:space="0" w:color="auto"/>
                      </w:divBdr>
                    </w:div>
                  </w:divsChild>
                </w:div>
                <w:div w:id="1859917">
                  <w:marLeft w:val="0"/>
                  <w:marRight w:val="0"/>
                  <w:marTop w:val="0"/>
                  <w:marBottom w:val="0"/>
                  <w:divBdr>
                    <w:top w:val="none" w:sz="0" w:space="0" w:color="auto"/>
                    <w:left w:val="none" w:sz="0" w:space="0" w:color="auto"/>
                    <w:bottom w:val="none" w:sz="0" w:space="0" w:color="auto"/>
                    <w:right w:val="none" w:sz="0" w:space="0" w:color="auto"/>
                  </w:divBdr>
                  <w:divsChild>
                    <w:div w:id="404646943">
                      <w:marLeft w:val="0"/>
                      <w:marRight w:val="0"/>
                      <w:marTop w:val="0"/>
                      <w:marBottom w:val="0"/>
                      <w:divBdr>
                        <w:top w:val="none" w:sz="0" w:space="0" w:color="auto"/>
                        <w:left w:val="none" w:sz="0" w:space="0" w:color="auto"/>
                        <w:bottom w:val="none" w:sz="0" w:space="0" w:color="auto"/>
                        <w:right w:val="none" w:sz="0" w:space="0" w:color="auto"/>
                      </w:divBdr>
                    </w:div>
                  </w:divsChild>
                </w:div>
                <w:div w:id="1515995284">
                  <w:marLeft w:val="0"/>
                  <w:marRight w:val="0"/>
                  <w:marTop w:val="0"/>
                  <w:marBottom w:val="0"/>
                  <w:divBdr>
                    <w:top w:val="none" w:sz="0" w:space="0" w:color="auto"/>
                    <w:left w:val="none" w:sz="0" w:space="0" w:color="auto"/>
                    <w:bottom w:val="none" w:sz="0" w:space="0" w:color="auto"/>
                    <w:right w:val="none" w:sz="0" w:space="0" w:color="auto"/>
                  </w:divBdr>
                  <w:divsChild>
                    <w:div w:id="1591157988">
                      <w:marLeft w:val="0"/>
                      <w:marRight w:val="0"/>
                      <w:marTop w:val="0"/>
                      <w:marBottom w:val="0"/>
                      <w:divBdr>
                        <w:top w:val="none" w:sz="0" w:space="0" w:color="auto"/>
                        <w:left w:val="none" w:sz="0" w:space="0" w:color="auto"/>
                        <w:bottom w:val="none" w:sz="0" w:space="0" w:color="auto"/>
                        <w:right w:val="none" w:sz="0" w:space="0" w:color="auto"/>
                      </w:divBdr>
                    </w:div>
                  </w:divsChild>
                </w:div>
                <w:div w:id="1494295585">
                  <w:marLeft w:val="0"/>
                  <w:marRight w:val="0"/>
                  <w:marTop w:val="0"/>
                  <w:marBottom w:val="0"/>
                  <w:divBdr>
                    <w:top w:val="none" w:sz="0" w:space="0" w:color="auto"/>
                    <w:left w:val="none" w:sz="0" w:space="0" w:color="auto"/>
                    <w:bottom w:val="none" w:sz="0" w:space="0" w:color="auto"/>
                    <w:right w:val="none" w:sz="0" w:space="0" w:color="auto"/>
                  </w:divBdr>
                  <w:divsChild>
                    <w:div w:id="16666675">
                      <w:marLeft w:val="0"/>
                      <w:marRight w:val="0"/>
                      <w:marTop w:val="0"/>
                      <w:marBottom w:val="0"/>
                      <w:divBdr>
                        <w:top w:val="none" w:sz="0" w:space="0" w:color="auto"/>
                        <w:left w:val="none" w:sz="0" w:space="0" w:color="auto"/>
                        <w:bottom w:val="none" w:sz="0" w:space="0" w:color="auto"/>
                        <w:right w:val="none" w:sz="0" w:space="0" w:color="auto"/>
                      </w:divBdr>
                    </w:div>
                  </w:divsChild>
                </w:div>
                <w:div w:id="488905644">
                  <w:marLeft w:val="0"/>
                  <w:marRight w:val="0"/>
                  <w:marTop w:val="0"/>
                  <w:marBottom w:val="0"/>
                  <w:divBdr>
                    <w:top w:val="none" w:sz="0" w:space="0" w:color="auto"/>
                    <w:left w:val="none" w:sz="0" w:space="0" w:color="auto"/>
                    <w:bottom w:val="none" w:sz="0" w:space="0" w:color="auto"/>
                    <w:right w:val="none" w:sz="0" w:space="0" w:color="auto"/>
                  </w:divBdr>
                  <w:divsChild>
                    <w:div w:id="100495202">
                      <w:marLeft w:val="0"/>
                      <w:marRight w:val="0"/>
                      <w:marTop w:val="0"/>
                      <w:marBottom w:val="0"/>
                      <w:divBdr>
                        <w:top w:val="none" w:sz="0" w:space="0" w:color="auto"/>
                        <w:left w:val="none" w:sz="0" w:space="0" w:color="auto"/>
                        <w:bottom w:val="none" w:sz="0" w:space="0" w:color="auto"/>
                        <w:right w:val="none" w:sz="0" w:space="0" w:color="auto"/>
                      </w:divBdr>
                    </w:div>
                  </w:divsChild>
                </w:div>
                <w:div w:id="1029526066">
                  <w:marLeft w:val="0"/>
                  <w:marRight w:val="0"/>
                  <w:marTop w:val="0"/>
                  <w:marBottom w:val="0"/>
                  <w:divBdr>
                    <w:top w:val="none" w:sz="0" w:space="0" w:color="auto"/>
                    <w:left w:val="none" w:sz="0" w:space="0" w:color="auto"/>
                    <w:bottom w:val="none" w:sz="0" w:space="0" w:color="auto"/>
                    <w:right w:val="none" w:sz="0" w:space="0" w:color="auto"/>
                  </w:divBdr>
                  <w:divsChild>
                    <w:div w:id="578910138">
                      <w:marLeft w:val="0"/>
                      <w:marRight w:val="0"/>
                      <w:marTop w:val="0"/>
                      <w:marBottom w:val="0"/>
                      <w:divBdr>
                        <w:top w:val="none" w:sz="0" w:space="0" w:color="auto"/>
                        <w:left w:val="none" w:sz="0" w:space="0" w:color="auto"/>
                        <w:bottom w:val="none" w:sz="0" w:space="0" w:color="auto"/>
                        <w:right w:val="none" w:sz="0" w:space="0" w:color="auto"/>
                      </w:divBdr>
                    </w:div>
                  </w:divsChild>
                </w:div>
                <w:div w:id="28651154">
                  <w:marLeft w:val="0"/>
                  <w:marRight w:val="0"/>
                  <w:marTop w:val="0"/>
                  <w:marBottom w:val="0"/>
                  <w:divBdr>
                    <w:top w:val="none" w:sz="0" w:space="0" w:color="auto"/>
                    <w:left w:val="none" w:sz="0" w:space="0" w:color="auto"/>
                    <w:bottom w:val="none" w:sz="0" w:space="0" w:color="auto"/>
                    <w:right w:val="none" w:sz="0" w:space="0" w:color="auto"/>
                  </w:divBdr>
                  <w:divsChild>
                    <w:div w:id="1632242749">
                      <w:marLeft w:val="0"/>
                      <w:marRight w:val="0"/>
                      <w:marTop w:val="0"/>
                      <w:marBottom w:val="0"/>
                      <w:divBdr>
                        <w:top w:val="none" w:sz="0" w:space="0" w:color="auto"/>
                        <w:left w:val="none" w:sz="0" w:space="0" w:color="auto"/>
                        <w:bottom w:val="none" w:sz="0" w:space="0" w:color="auto"/>
                        <w:right w:val="none" w:sz="0" w:space="0" w:color="auto"/>
                      </w:divBdr>
                    </w:div>
                  </w:divsChild>
                </w:div>
                <w:div w:id="1341277389">
                  <w:marLeft w:val="0"/>
                  <w:marRight w:val="0"/>
                  <w:marTop w:val="0"/>
                  <w:marBottom w:val="0"/>
                  <w:divBdr>
                    <w:top w:val="none" w:sz="0" w:space="0" w:color="auto"/>
                    <w:left w:val="none" w:sz="0" w:space="0" w:color="auto"/>
                    <w:bottom w:val="none" w:sz="0" w:space="0" w:color="auto"/>
                    <w:right w:val="none" w:sz="0" w:space="0" w:color="auto"/>
                  </w:divBdr>
                  <w:divsChild>
                    <w:div w:id="510292685">
                      <w:marLeft w:val="0"/>
                      <w:marRight w:val="0"/>
                      <w:marTop w:val="0"/>
                      <w:marBottom w:val="0"/>
                      <w:divBdr>
                        <w:top w:val="none" w:sz="0" w:space="0" w:color="auto"/>
                        <w:left w:val="none" w:sz="0" w:space="0" w:color="auto"/>
                        <w:bottom w:val="none" w:sz="0" w:space="0" w:color="auto"/>
                        <w:right w:val="none" w:sz="0" w:space="0" w:color="auto"/>
                      </w:divBdr>
                    </w:div>
                  </w:divsChild>
                </w:div>
                <w:div w:id="2140996720">
                  <w:marLeft w:val="0"/>
                  <w:marRight w:val="0"/>
                  <w:marTop w:val="0"/>
                  <w:marBottom w:val="0"/>
                  <w:divBdr>
                    <w:top w:val="none" w:sz="0" w:space="0" w:color="auto"/>
                    <w:left w:val="none" w:sz="0" w:space="0" w:color="auto"/>
                    <w:bottom w:val="none" w:sz="0" w:space="0" w:color="auto"/>
                    <w:right w:val="none" w:sz="0" w:space="0" w:color="auto"/>
                  </w:divBdr>
                  <w:divsChild>
                    <w:div w:id="146866329">
                      <w:marLeft w:val="0"/>
                      <w:marRight w:val="0"/>
                      <w:marTop w:val="0"/>
                      <w:marBottom w:val="0"/>
                      <w:divBdr>
                        <w:top w:val="none" w:sz="0" w:space="0" w:color="auto"/>
                        <w:left w:val="none" w:sz="0" w:space="0" w:color="auto"/>
                        <w:bottom w:val="none" w:sz="0" w:space="0" w:color="auto"/>
                        <w:right w:val="none" w:sz="0" w:space="0" w:color="auto"/>
                      </w:divBdr>
                    </w:div>
                  </w:divsChild>
                </w:div>
                <w:div w:id="2051808035">
                  <w:marLeft w:val="0"/>
                  <w:marRight w:val="0"/>
                  <w:marTop w:val="0"/>
                  <w:marBottom w:val="0"/>
                  <w:divBdr>
                    <w:top w:val="none" w:sz="0" w:space="0" w:color="auto"/>
                    <w:left w:val="none" w:sz="0" w:space="0" w:color="auto"/>
                    <w:bottom w:val="none" w:sz="0" w:space="0" w:color="auto"/>
                    <w:right w:val="none" w:sz="0" w:space="0" w:color="auto"/>
                  </w:divBdr>
                  <w:divsChild>
                    <w:div w:id="1125002633">
                      <w:marLeft w:val="0"/>
                      <w:marRight w:val="0"/>
                      <w:marTop w:val="0"/>
                      <w:marBottom w:val="0"/>
                      <w:divBdr>
                        <w:top w:val="none" w:sz="0" w:space="0" w:color="auto"/>
                        <w:left w:val="none" w:sz="0" w:space="0" w:color="auto"/>
                        <w:bottom w:val="none" w:sz="0" w:space="0" w:color="auto"/>
                        <w:right w:val="none" w:sz="0" w:space="0" w:color="auto"/>
                      </w:divBdr>
                    </w:div>
                  </w:divsChild>
                </w:div>
                <w:div w:id="676536660">
                  <w:marLeft w:val="0"/>
                  <w:marRight w:val="0"/>
                  <w:marTop w:val="0"/>
                  <w:marBottom w:val="0"/>
                  <w:divBdr>
                    <w:top w:val="none" w:sz="0" w:space="0" w:color="auto"/>
                    <w:left w:val="none" w:sz="0" w:space="0" w:color="auto"/>
                    <w:bottom w:val="none" w:sz="0" w:space="0" w:color="auto"/>
                    <w:right w:val="none" w:sz="0" w:space="0" w:color="auto"/>
                  </w:divBdr>
                  <w:divsChild>
                    <w:div w:id="619728849">
                      <w:marLeft w:val="0"/>
                      <w:marRight w:val="0"/>
                      <w:marTop w:val="0"/>
                      <w:marBottom w:val="0"/>
                      <w:divBdr>
                        <w:top w:val="none" w:sz="0" w:space="0" w:color="auto"/>
                        <w:left w:val="none" w:sz="0" w:space="0" w:color="auto"/>
                        <w:bottom w:val="none" w:sz="0" w:space="0" w:color="auto"/>
                        <w:right w:val="none" w:sz="0" w:space="0" w:color="auto"/>
                      </w:divBdr>
                    </w:div>
                  </w:divsChild>
                </w:div>
                <w:div w:id="223950933">
                  <w:marLeft w:val="0"/>
                  <w:marRight w:val="0"/>
                  <w:marTop w:val="0"/>
                  <w:marBottom w:val="0"/>
                  <w:divBdr>
                    <w:top w:val="none" w:sz="0" w:space="0" w:color="auto"/>
                    <w:left w:val="none" w:sz="0" w:space="0" w:color="auto"/>
                    <w:bottom w:val="none" w:sz="0" w:space="0" w:color="auto"/>
                    <w:right w:val="none" w:sz="0" w:space="0" w:color="auto"/>
                  </w:divBdr>
                  <w:divsChild>
                    <w:div w:id="314921596">
                      <w:marLeft w:val="0"/>
                      <w:marRight w:val="0"/>
                      <w:marTop w:val="0"/>
                      <w:marBottom w:val="0"/>
                      <w:divBdr>
                        <w:top w:val="none" w:sz="0" w:space="0" w:color="auto"/>
                        <w:left w:val="none" w:sz="0" w:space="0" w:color="auto"/>
                        <w:bottom w:val="none" w:sz="0" w:space="0" w:color="auto"/>
                        <w:right w:val="none" w:sz="0" w:space="0" w:color="auto"/>
                      </w:divBdr>
                    </w:div>
                  </w:divsChild>
                </w:div>
                <w:div w:id="1763142910">
                  <w:marLeft w:val="0"/>
                  <w:marRight w:val="0"/>
                  <w:marTop w:val="0"/>
                  <w:marBottom w:val="0"/>
                  <w:divBdr>
                    <w:top w:val="none" w:sz="0" w:space="0" w:color="auto"/>
                    <w:left w:val="none" w:sz="0" w:space="0" w:color="auto"/>
                    <w:bottom w:val="none" w:sz="0" w:space="0" w:color="auto"/>
                    <w:right w:val="none" w:sz="0" w:space="0" w:color="auto"/>
                  </w:divBdr>
                  <w:divsChild>
                    <w:div w:id="501895823">
                      <w:marLeft w:val="0"/>
                      <w:marRight w:val="0"/>
                      <w:marTop w:val="0"/>
                      <w:marBottom w:val="0"/>
                      <w:divBdr>
                        <w:top w:val="none" w:sz="0" w:space="0" w:color="auto"/>
                        <w:left w:val="none" w:sz="0" w:space="0" w:color="auto"/>
                        <w:bottom w:val="none" w:sz="0" w:space="0" w:color="auto"/>
                        <w:right w:val="none" w:sz="0" w:space="0" w:color="auto"/>
                      </w:divBdr>
                    </w:div>
                  </w:divsChild>
                </w:div>
                <w:div w:id="216820568">
                  <w:marLeft w:val="0"/>
                  <w:marRight w:val="0"/>
                  <w:marTop w:val="0"/>
                  <w:marBottom w:val="0"/>
                  <w:divBdr>
                    <w:top w:val="none" w:sz="0" w:space="0" w:color="auto"/>
                    <w:left w:val="none" w:sz="0" w:space="0" w:color="auto"/>
                    <w:bottom w:val="none" w:sz="0" w:space="0" w:color="auto"/>
                    <w:right w:val="none" w:sz="0" w:space="0" w:color="auto"/>
                  </w:divBdr>
                  <w:divsChild>
                    <w:div w:id="1877305952">
                      <w:marLeft w:val="0"/>
                      <w:marRight w:val="0"/>
                      <w:marTop w:val="0"/>
                      <w:marBottom w:val="0"/>
                      <w:divBdr>
                        <w:top w:val="none" w:sz="0" w:space="0" w:color="auto"/>
                        <w:left w:val="none" w:sz="0" w:space="0" w:color="auto"/>
                        <w:bottom w:val="none" w:sz="0" w:space="0" w:color="auto"/>
                        <w:right w:val="none" w:sz="0" w:space="0" w:color="auto"/>
                      </w:divBdr>
                    </w:div>
                  </w:divsChild>
                </w:div>
                <w:div w:id="362942105">
                  <w:marLeft w:val="0"/>
                  <w:marRight w:val="0"/>
                  <w:marTop w:val="0"/>
                  <w:marBottom w:val="0"/>
                  <w:divBdr>
                    <w:top w:val="none" w:sz="0" w:space="0" w:color="auto"/>
                    <w:left w:val="none" w:sz="0" w:space="0" w:color="auto"/>
                    <w:bottom w:val="none" w:sz="0" w:space="0" w:color="auto"/>
                    <w:right w:val="none" w:sz="0" w:space="0" w:color="auto"/>
                  </w:divBdr>
                  <w:divsChild>
                    <w:div w:id="1162814664">
                      <w:marLeft w:val="0"/>
                      <w:marRight w:val="0"/>
                      <w:marTop w:val="0"/>
                      <w:marBottom w:val="0"/>
                      <w:divBdr>
                        <w:top w:val="none" w:sz="0" w:space="0" w:color="auto"/>
                        <w:left w:val="none" w:sz="0" w:space="0" w:color="auto"/>
                        <w:bottom w:val="none" w:sz="0" w:space="0" w:color="auto"/>
                        <w:right w:val="none" w:sz="0" w:space="0" w:color="auto"/>
                      </w:divBdr>
                    </w:div>
                  </w:divsChild>
                </w:div>
                <w:div w:id="1289431097">
                  <w:marLeft w:val="0"/>
                  <w:marRight w:val="0"/>
                  <w:marTop w:val="0"/>
                  <w:marBottom w:val="0"/>
                  <w:divBdr>
                    <w:top w:val="none" w:sz="0" w:space="0" w:color="auto"/>
                    <w:left w:val="none" w:sz="0" w:space="0" w:color="auto"/>
                    <w:bottom w:val="none" w:sz="0" w:space="0" w:color="auto"/>
                    <w:right w:val="none" w:sz="0" w:space="0" w:color="auto"/>
                  </w:divBdr>
                  <w:divsChild>
                    <w:div w:id="283512021">
                      <w:marLeft w:val="0"/>
                      <w:marRight w:val="0"/>
                      <w:marTop w:val="0"/>
                      <w:marBottom w:val="0"/>
                      <w:divBdr>
                        <w:top w:val="none" w:sz="0" w:space="0" w:color="auto"/>
                        <w:left w:val="none" w:sz="0" w:space="0" w:color="auto"/>
                        <w:bottom w:val="none" w:sz="0" w:space="0" w:color="auto"/>
                        <w:right w:val="none" w:sz="0" w:space="0" w:color="auto"/>
                      </w:divBdr>
                    </w:div>
                  </w:divsChild>
                </w:div>
                <w:div w:id="1661731452">
                  <w:marLeft w:val="0"/>
                  <w:marRight w:val="0"/>
                  <w:marTop w:val="0"/>
                  <w:marBottom w:val="0"/>
                  <w:divBdr>
                    <w:top w:val="none" w:sz="0" w:space="0" w:color="auto"/>
                    <w:left w:val="none" w:sz="0" w:space="0" w:color="auto"/>
                    <w:bottom w:val="none" w:sz="0" w:space="0" w:color="auto"/>
                    <w:right w:val="none" w:sz="0" w:space="0" w:color="auto"/>
                  </w:divBdr>
                  <w:divsChild>
                    <w:div w:id="598873389">
                      <w:marLeft w:val="0"/>
                      <w:marRight w:val="0"/>
                      <w:marTop w:val="0"/>
                      <w:marBottom w:val="0"/>
                      <w:divBdr>
                        <w:top w:val="none" w:sz="0" w:space="0" w:color="auto"/>
                        <w:left w:val="none" w:sz="0" w:space="0" w:color="auto"/>
                        <w:bottom w:val="none" w:sz="0" w:space="0" w:color="auto"/>
                        <w:right w:val="none" w:sz="0" w:space="0" w:color="auto"/>
                      </w:divBdr>
                    </w:div>
                  </w:divsChild>
                </w:div>
                <w:div w:id="1839423958">
                  <w:marLeft w:val="0"/>
                  <w:marRight w:val="0"/>
                  <w:marTop w:val="0"/>
                  <w:marBottom w:val="0"/>
                  <w:divBdr>
                    <w:top w:val="none" w:sz="0" w:space="0" w:color="auto"/>
                    <w:left w:val="none" w:sz="0" w:space="0" w:color="auto"/>
                    <w:bottom w:val="none" w:sz="0" w:space="0" w:color="auto"/>
                    <w:right w:val="none" w:sz="0" w:space="0" w:color="auto"/>
                  </w:divBdr>
                  <w:divsChild>
                    <w:div w:id="1371294972">
                      <w:marLeft w:val="0"/>
                      <w:marRight w:val="0"/>
                      <w:marTop w:val="0"/>
                      <w:marBottom w:val="0"/>
                      <w:divBdr>
                        <w:top w:val="none" w:sz="0" w:space="0" w:color="auto"/>
                        <w:left w:val="none" w:sz="0" w:space="0" w:color="auto"/>
                        <w:bottom w:val="none" w:sz="0" w:space="0" w:color="auto"/>
                        <w:right w:val="none" w:sz="0" w:space="0" w:color="auto"/>
                      </w:divBdr>
                    </w:div>
                  </w:divsChild>
                </w:div>
                <w:div w:id="1773042381">
                  <w:marLeft w:val="0"/>
                  <w:marRight w:val="0"/>
                  <w:marTop w:val="0"/>
                  <w:marBottom w:val="0"/>
                  <w:divBdr>
                    <w:top w:val="none" w:sz="0" w:space="0" w:color="auto"/>
                    <w:left w:val="none" w:sz="0" w:space="0" w:color="auto"/>
                    <w:bottom w:val="none" w:sz="0" w:space="0" w:color="auto"/>
                    <w:right w:val="none" w:sz="0" w:space="0" w:color="auto"/>
                  </w:divBdr>
                  <w:divsChild>
                    <w:div w:id="1813667903">
                      <w:marLeft w:val="0"/>
                      <w:marRight w:val="0"/>
                      <w:marTop w:val="0"/>
                      <w:marBottom w:val="0"/>
                      <w:divBdr>
                        <w:top w:val="none" w:sz="0" w:space="0" w:color="auto"/>
                        <w:left w:val="none" w:sz="0" w:space="0" w:color="auto"/>
                        <w:bottom w:val="none" w:sz="0" w:space="0" w:color="auto"/>
                        <w:right w:val="none" w:sz="0" w:space="0" w:color="auto"/>
                      </w:divBdr>
                    </w:div>
                  </w:divsChild>
                </w:div>
                <w:div w:id="171343241">
                  <w:marLeft w:val="0"/>
                  <w:marRight w:val="0"/>
                  <w:marTop w:val="0"/>
                  <w:marBottom w:val="0"/>
                  <w:divBdr>
                    <w:top w:val="none" w:sz="0" w:space="0" w:color="auto"/>
                    <w:left w:val="none" w:sz="0" w:space="0" w:color="auto"/>
                    <w:bottom w:val="none" w:sz="0" w:space="0" w:color="auto"/>
                    <w:right w:val="none" w:sz="0" w:space="0" w:color="auto"/>
                  </w:divBdr>
                  <w:divsChild>
                    <w:div w:id="1246770657">
                      <w:marLeft w:val="0"/>
                      <w:marRight w:val="0"/>
                      <w:marTop w:val="0"/>
                      <w:marBottom w:val="0"/>
                      <w:divBdr>
                        <w:top w:val="none" w:sz="0" w:space="0" w:color="auto"/>
                        <w:left w:val="none" w:sz="0" w:space="0" w:color="auto"/>
                        <w:bottom w:val="none" w:sz="0" w:space="0" w:color="auto"/>
                        <w:right w:val="none" w:sz="0" w:space="0" w:color="auto"/>
                      </w:divBdr>
                    </w:div>
                  </w:divsChild>
                </w:div>
                <w:div w:id="187641806">
                  <w:marLeft w:val="0"/>
                  <w:marRight w:val="0"/>
                  <w:marTop w:val="0"/>
                  <w:marBottom w:val="0"/>
                  <w:divBdr>
                    <w:top w:val="none" w:sz="0" w:space="0" w:color="auto"/>
                    <w:left w:val="none" w:sz="0" w:space="0" w:color="auto"/>
                    <w:bottom w:val="none" w:sz="0" w:space="0" w:color="auto"/>
                    <w:right w:val="none" w:sz="0" w:space="0" w:color="auto"/>
                  </w:divBdr>
                  <w:divsChild>
                    <w:div w:id="384791413">
                      <w:marLeft w:val="0"/>
                      <w:marRight w:val="0"/>
                      <w:marTop w:val="0"/>
                      <w:marBottom w:val="0"/>
                      <w:divBdr>
                        <w:top w:val="none" w:sz="0" w:space="0" w:color="auto"/>
                        <w:left w:val="none" w:sz="0" w:space="0" w:color="auto"/>
                        <w:bottom w:val="none" w:sz="0" w:space="0" w:color="auto"/>
                        <w:right w:val="none" w:sz="0" w:space="0" w:color="auto"/>
                      </w:divBdr>
                    </w:div>
                  </w:divsChild>
                </w:div>
                <w:div w:id="1020664613">
                  <w:marLeft w:val="0"/>
                  <w:marRight w:val="0"/>
                  <w:marTop w:val="0"/>
                  <w:marBottom w:val="0"/>
                  <w:divBdr>
                    <w:top w:val="none" w:sz="0" w:space="0" w:color="auto"/>
                    <w:left w:val="none" w:sz="0" w:space="0" w:color="auto"/>
                    <w:bottom w:val="none" w:sz="0" w:space="0" w:color="auto"/>
                    <w:right w:val="none" w:sz="0" w:space="0" w:color="auto"/>
                  </w:divBdr>
                  <w:divsChild>
                    <w:div w:id="2054184665">
                      <w:marLeft w:val="0"/>
                      <w:marRight w:val="0"/>
                      <w:marTop w:val="0"/>
                      <w:marBottom w:val="0"/>
                      <w:divBdr>
                        <w:top w:val="none" w:sz="0" w:space="0" w:color="auto"/>
                        <w:left w:val="none" w:sz="0" w:space="0" w:color="auto"/>
                        <w:bottom w:val="none" w:sz="0" w:space="0" w:color="auto"/>
                        <w:right w:val="none" w:sz="0" w:space="0" w:color="auto"/>
                      </w:divBdr>
                    </w:div>
                  </w:divsChild>
                </w:div>
                <w:div w:id="1542790895">
                  <w:marLeft w:val="0"/>
                  <w:marRight w:val="0"/>
                  <w:marTop w:val="0"/>
                  <w:marBottom w:val="0"/>
                  <w:divBdr>
                    <w:top w:val="none" w:sz="0" w:space="0" w:color="auto"/>
                    <w:left w:val="none" w:sz="0" w:space="0" w:color="auto"/>
                    <w:bottom w:val="none" w:sz="0" w:space="0" w:color="auto"/>
                    <w:right w:val="none" w:sz="0" w:space="0" w:color="auto"/>
                  </w:divBdr>
                  <w:divsChild>
                    <w:div w:id="1470855609">
                      <w:marLeft w:val="0"/>
                      <w:marRight w:val="0"/>
                      <w:marTop w:val="0"/>
                      <w:marBottom w:val="0"/>
                      <w:divBdr>
                        <w:top w:val="none" w:sz="0" w:space="0" w:color="auto"/>
                        <w:left w:val="none" w:sz="0" w:space="0" w:color="auto"/>
                        <w:bottom w:val="none" w:sz="0" w:space="0" w:color="auto"/>
                        <w:right w:val="none" w:sz="0" w:space="0" w:color="auto"/>
                      </w:divBdr>
                    </w:div>
                  </w:divsChild>
                </w:div>
                <w:div w:id="1992445535">
                  <w:marLeft w:val="0"/>
                  <w:marRight w:val="0"/>
                  <w:marTop w:val="0"/>
                  <w:marBottom w:val="0"/>
                  <w:divBdr>
                    <w:top w:val="none" w:sz="0" w:space="0" w:color="auto"/>
                    <w:left w:val="none" w:sz="0" w:space="0" w:color="auto"/>
                    <w:bottom w:val="none" w:sz="0" w:space="0" w:color="auto"/>
                    <w:right w:val="none" w:sz="0" w:space="0" w:color="auto"/>
                  </w:divBdr>
                  <w:divsChild>
                    <w:div w:id="1206023886">
                      <w:marLeft w:val="0"/>
                      <w:marRight w:val="0"/>
                      <w:marTop w:val="0"/>
                      <w:marBottom w:val="0"/>
                      <w:divBdr>
                        <w:top w:val="none" w:sz="0" w:space="0" w:color="auto"/>
                        <w:left w:val="none" w:sz="0" w:space="0" w:color="auto"/>
                        <w:bottom w:val="none" w:sz="0" w:space="0" w:color="auto"/>
                        <w:right w:val="none" w:sz="0" w:space="0" w:color="auto"/>
                      </w:divBdr>
                    </w:div>
                  </w:divsChild>
                </w:div>
                <w:div w:id="1541891299">
                  <w:marLeft w:val="0"/>
                  <w:marRight w:val="0"/>
                  <w:marTop w:val="0"/>
                  <w:marBottom w:val="0"/>
                  <w:divBdr>
                    <w:top w:val="none" w:sz="0" w:space="0" w:color="auto"/>
                    <w:left w:val="none" w:sz="0" w:space="0" w:color="auto"/>
                    <w:bottom w:val="none" w:sz="0" w:space="0" w:color="auto"/>
                    <w:right w:val="none" w:sz="0" w:space="0" w:color="auto"/>
                  </w:divBdr>
                  <w:divsChild>
                    <w:div w:id="886723238">
                      <w:marLeft w:val="0"/>
                      <w:marRight w:val="0"/>
                      <w:marTop w:val="0"/>
                      <w:marBottom w:val="0"/>
                      <w:divBdr>
                        <w:top w:val="none" w:sz="0" w:space="0" w:color="auto"/>
                        <w:left w:val="none" w:sz="0" w:space="0" w:color="auto"/>
                        <w:bottom w:val="none" w:sz="0" w:space="0" w:color="auto"/>
                        <w:right w:val="none" w:sz="0" w:space="0" w:color="auto"/>
                      </w:divBdr>
                    </w:div>
                  </w:divsChild>
                </w:div>
                <w:div w:id="581840964">
                  <w:marLeft w:val="0"/>
                  <w:marRight w:val="0"/>
                  <w:marTop w:val="0"/>
                  <w:marBottom w:val="0"/>
                  <w:divBdr>
                    <w:top w:val="none" w:sz="0" w:space="0" w:color="auto"/>
                    <w:left w:val="none" w:sz="0" w:space="0" w:color="auto"/>
                    <w:bottom w:val="none" w:sz="0" w:space="0" w:color="auto"/>
                    <w:right w:val="none" w:sz="0" w:space="0" w:color="auto"/>
                  </w:divBdr>
                  <w:divsChild>
                    <w:div w:id="2013145392">
                      <w:marLeft w:val="0"/>
                      <w:marRight w:val="0"/>
                      <w:marTop w:val="0"/>
                      <w:marBottom w:val="0"/>
                      <w:divBdr>
                        <w:top w:val="none" w:sz="0" w:space="0" w:color="auto"/>
                        <w:left w:val="none" w:sz="0" w:space="0" w:color="auto"/>
                        <w:bottom w:val="none" w:sz="0" w:space="0" w:color="auto"/>
                        <w:right w:val="none" w:sz="0" w:space="0" w:color="auto"/>
                      </w:divBdr>
                    </w:div>
                  </w:divsChild>
                </w:div>
                <w:div w:id="189538735">
                  <w:marLeft w:val="0"/>
                  <w:marRight w:val="0"/>
                  <w:marTop w:val="0"/>
                  <w:marBottom w:val="0"/>
                  <w:divBdr>
                    <w:top w:val="none" w:sz="0" w:space="0" w:color="auto"/>
                    <w:left w:val="none" w:sz="0" w:space="0" w:color="auto"/>
                    <w:bottom w:val="none" w:sz="0" w:space="0" w:color="auto"/>
                    <w:right w:val="none" w:sz="0" w:space="0" w:color="auto"/>
                  </w:divBdr>
                  <w:divsChild>
                    <w:div w:id="720205639">
                      <w:marLeft w:val="0"/>
                      <w:marRight w:val="0"/>
                      <w:marTop w:val="0"/>
                      <w:marBottom w:val="0"/>
                      <w:divBdr>
                        <w:top w:val="none" w:sz="0" w:space="0" w:color="auto"/>
                        <w:left w:val="none" w:sz="0" w:space="0" w:color="auto"/>
                        <w:bottom w:val="none" w:sz="0" w:space="0" w:color="auto"/>
                        <w:right w:val="none" w:sz="0" w:space="0" w:color="auto"/>
                      </w:divBdr>
                    </w:div>
                  </w:divsChild>
                </w:div>
                <w:div w:id="305594768">
                  <w:marLeft w:val="0"/>
                  <w:marRight w:val="0"/>
                  <w:marTop w:val="0"/>
                  <w:marBottom w:val="0"/>
                  <w:divBdr>
                    <w:top w:val="none" w:sz="0" w:space="0" w:color="auto"/>
                    <w:left w:val="none" w:sz="0" w:space="0" w:color="auto"/>
                    <w:bottom w:val="none" w:sz="0" w:space="0" w:color="auto"/>
                    <w:right w:val="none" w:sz="0" w:space="0" w:color="auto"/>
                  </w:divBdr>
                  <w:divsChild>
                    <w:div w:id="1527257300">
                      <w:marLeft w:val="0"/>
                      <w:marRight w:val="0"/>
                      <w:marTop w:val="0"/>
                      <w:marBottom w:val="0"/>
                      <w:divBdr>
                        <w:top w:val="none" w:sz="0" w:space="0" w:color="auto"/>
                        <w:left w:val="none" w:sz="0" w:space="0" w:color="auto"/>
                        <w:bottom w:val="none" w:sz="0" w:space="0" w:color="auto"/>
                        <w:right w:val="none" w:sz="0" w:space="0" w:color="auto"/>
                      </w:divBdr>
                    </w:div>
                  </w:divsChild>
                </w:div>
                <w:div w:id="1123883097">
                  <w:marLeft w:val="0"/>
                  <w:marRight w:val="0"/>
                  <w:marTop w:val="0"/>
                  <w:marBottom w:val="0"/>
                  <w:divBdr>
                    <w:top w:val="none" w:sz="0" w:space="0" w:color="auto"/>
                    <w:left w:val="none" w:sz="0" w:space="0" w:color="auto"/>
                    <w:bottom w:val="none" w:sz="0" w:space="0" w:color="auto"/>
                    <w:right w:val="none" w:sz="0" w:space="0" w:color="auto"/>
                  </w:divBdr>
                  <w:divsChild>
                    <w:div w:id="2132941964">
                      <w:marLeft w:val="0"/>
                      <w:marRight w:val="0"/>
                      <w:marTop w:val="0"/>
                      <w:marBottom w:val="0"/>
                      <w:divBdr>
                        <w:top w:val="none" w:sz="0" w:space="0" w:color="auto"/>
                        <w:left w:val="none" w:sz="0" w:space="0" w:color="auto"/>
                        <w:bottom w:val="none" w:sz="0" w:space="0" w:color="auto"/>
                        <w:right w:val="none" w:sz="0" w:space="0" w:color="auto"/>
                      </w:divBdr>
                    </w:div>
                  </w:divsChild>
                </w:div>
                <w:div w:id="410125729">
                  <w:marLeft w:val="0"/>
                  <w:marRight w:val="0"/>
                  <w:marTop w:val="0"/>
                  <w:marBottom w:val="0"/>
                  <w:divBdr>
                    <w:top w:val="none" w:sz="0" w:space="0" w:color="auto"/>
                    <w:left w:val="none" w:sz="0" w:space="0" w:color="auto"/>
                    <w:bottom w:val="none" w:sz="0" w:space="0" w:color="auto"/>
                    <w:right w:val="none" w:sz="0" w:space="0" w:color="auto"/>
                  </w:divBdr>
                  <w:divsChild>
                    <w:div w:id="756054439">
                      <w:marLeft w:val="0"/>
                      <w:marRight w:val="0"/>
                      <w:marTop w:val="0"/>
                      <w:marBottom w:val="0"/>
                      <w:divBdr>
                        <w:top w:val="none" w:sz="0" w:space="0" w:color="auto"/>
                        <w:left w:val="none" w:sz="0" w:space="0" w:color="auto"/>
                        <w:bottom w:val="none" w:sz="0" w:space="0" w:color="auto"/>
                        <w:right w:val="none" w:sz="0" w:space="0" w:color="auto"/>
                      </w:divBdr>
                    </w:div>
                  </w:divsChild>
                </w:div>
                <w:div w:id="2099983705">
                  <w:marLeft w:val="0"/>
                  <w:marRight w:val="0"/>
                  <w:marTop w:val="0"/>
                  <w:marBottom w:val="0"/>
                  <w:divBdr>
                    <w:top w:val="none" w:sz="0" w:space="0" w:color="auto"/>
                    <w:left w:val="none" w:sz="0" w:space="0" w:color="auto"/>
                    <w:bottom w:val="none" w:sz="0" w:space="0" w:color="auto"/>
                    <w:right w:val="none" w:sz="0" w:space="0" w:color="auto"/>
                  </w:divBdr>
                  <w:divsChild>
                    <w:div w:id="153183399">
                      <w:marLeft w:val="0"/>
                      <w:marRight w:val="0"/>
                      <w:marTop w:val="0"/>
                      <w:marBottom w:val="0"/>
                      <w:divBdr>
                        <w:top w:val="none" w:sz="0" w:space="0" w:color="auto"/>
                        <w:left w:val="none" w:sz="0" w:space="0" w:color="auto"/>
                        <w:bottom w:val="none" w:sz="0" w:space="0" w:color="auto"/>
                        <w:right w:val="none" w:sz="0" w:space="0" w:color="auto"/>
                      </w:divBdr>
                    </w:div>
                  </w:divsChild>
                </w:div>
                <w:div w:id="2108961210">
                  <w:marLeft w:val="0"/>
                  <w:marRight w:val="0"/>
                  <w:marTop w:val="0"/>
                  <w:marBottom w:val="0"/>
                  <w:divBdr>
                    <w:top w:val="none" w:sz="0" w:space="0" w:color="auto"/>
                    <w:left w:val="none" w:sz="0" w:space="0" w:color="auto"/>
                    <w:bottom w:val="none" w:sz="0" w:space="0" w:color="auto"/>
                    <w:right w:val="none" w:sz="0" w:space="0" w:color="auto"/>
                  </w:divBdr>
                  <w:divsChild>
                    <w:div w:id="619999313">
                      <w:marLeft w:val="0"/>
                      <w:marRight w:val="0"/>
                      <w:marTop w:val="0"/>
                      <w:marBottom w:val="0"/>
                      <w:divBdr>
                        <w:top w:val="none" w:sz="0" w:space="0" w:color="auto"/>
                        <w:left w:val="none" w:sz="0" w:space="0" w:color="auto"/>
                        <w:bottom w:val="none" w:sz="0" w:space="0" w:color="auto"/>
                        <w:right w:val="none" w:sz="0" w:space="0" w:color="auto"/>
                      </w:divBdr>
                    </w:div>
                  </w:divsChild>
                </w:div>
                <w:div w:id="887062316">
                  <w:marLeft w:val="0"/>
                  <w:marRight w:val="0"/>
                  <w:marTop w:val="0"/>
                  <w:marBottom w:val="0"/>
                  <w:divBdr>
                    <w:top w:val="none" w:sz="0" w:space="0" w:color="auto"/>
                    <w:left w:val="none" w:sz="0" w:space="0" w:color="auto"/>
                    <w:bottom w:val="none" w:sz="0" w:space="0" w:color="auto"/>
                    <w:right w:val="none" w:sz="0" w:space="0" w:color="auto"/>
                  </w:divBdr>
                  <w:divsChild>
                    <w:div w:id="1253707154">
                      <w:marLeft w:val="0"/>
                      <w:marRight w:val="0"/>
                      <w:marTop w:val="0"/>
                      <w:marBottom w:val="0"/>
                      <w:divBdr>
                        <w:top w:val="none" w:sz="0" w:space="0" w:color="auto"/>
                        <w:left w:val="none" w:sz="0" w:space="0" w:color="auto"/>
                        <w:bottom w:val="none" w:sz="0" w:space="0" w:color="auto"/>
                        <w:right w:val="none" w:sz="0" w:space="0" w:color="auto"/>
                      </w:divBdr>
                    </w:div>
                  </w:divsChild>
                </w:div>
                <w:div w:id="2073767741">
                  <w:marLeft w:val="0"/>
                  <w:marRight w:val="0"/>
                  <w:marTop w:val="0"/>
                  <w:marBottom w:val="0"/>
                  <w:divBdr>
                    <w:top w:val="none" w:sz="0" w:space="0" w:color="auto"/>
                    <w:left w:val="none" w:sz="0" w:space="0" w:color="auto"/>
                    <w:bottom w:val="none" w:sz="0" w:space="0" w:color="auto"/>
                    <w:right w:val="none" w:sz="0" w:space="0" w:color="auto"/>
                  </w:divBdr>
                  <w:divsChild>
                    <w:div w:id="1970352955">
                      <w:marLeft w:val="0"/>
                      <w:marRight w:val="0"/>
                      <w:marTop w:val="0"/>
                      <w:marBottom w:val="0"/>
                      <w:divBdr>
                        <w:top w:val="none" w:sz="0" w:space="0" w:color="auto"/>
                        <w:left w:val="none" w:sz="0" w:space="0" w:color="auto"/>
                        <w:bottom w:val="none" w:sz="0" w:space="0" w:color="auto"/>
                        <w:right w:val="none" w:sz="0" w:space="0" w:color="auto"/>
                      </w:divBdr>
                    </w:div>
                  </w:divsChild>
                </w:div>
                <w:div w:id="975911378">
                  <w:marLeft w:val="0"/>
                  <w:marRight w:val="0"/>
                  <w:marTop w:val="0"/>
                  <w:marBottom w:val="0"/>
                  <w:divBdr>
                    <w:top w:val="none" w:sz="0" w:space="0" w:color="auto"/>
                    <w:left w:val="none" w:sz="0" w:space="0" w:color="auto"/>
                    <w:bottom w:val="none" w:sz="0" w:space="0" w:color="auto"/>
                    <w:right w:val="none" w:sz="0" w:space="0" w:color="auto"/>
                  </w:divBdr>
                  <w:divsChild>
                    <w:div w:id="1197961529">
                      <w:marLeft w:val="0"/>
                      <w:marRight w:val="0"/>
                      <w:marTop w:val="0"/>
                      <w:marBottom w:val="0"/>
                      <w:divBdr>
                        <w:top w:val="none" w:sz="0" w:space="0" w:color="auto"/>
                        <w:left w:val="none" w:sz="0" w:space="0" w:color="auto"/>
                        <w:bottom w:val="none" w:sz="0" w:space="0" w:color="auto"/>
                        <w:right w:val="none" w:sz="0" w:space="0" w:color="auto"/>
                      </w:divBdr>
                    </w:div>
                  </w:divsChild>
                </w:div>
                <w:div w:id="369955835">
                  <w:marLeft w:val="0"/>
                  <w:marRight w:val="0"/>
                  <w:marTop w:val="0"/>
                  <w:marBottom w:val="0"/>
                  <w:divBdr>
                    <w:top w:val="none" w:sz="0" w:space="0" w:color="auto"/>
                    <w:left w:val="none" w:sz="0" w:space="0" w:color="auto"/>
                    <w:bottom w:val="none" w:sz="0" w:space="0" w:color="auto"/>
                    <w:right w:val="none" w:sz="0" w:space="0" w:color="auto"/>
                  </w:divBdr>
                  <w:divsChild>
                    <w:div w:id="1167674424">
                      <w:marLeft w:val="0"/>
                      <w:marRight w:val="0"/>
                      <w:marTop w:val="0"/>
                      <w:marBottom w:val="0"/>
                      <w:divBdr>
                        <w:top w:val="none" w:sz="0" w:space="0" w:color="auto"/>
                        <w:left w:val="none" w:sz="0" w:space="0" w:color="auto"/>
                        <w:bottom w:val="none" w:sz="0" w:space="0" w:color="auto"/>
                        <w:right w:val="none" w:sz="0" w:space="0" w:color="auto"/>
                      </w:divBdr>
                    </w:div>
                  </w:divsChild>
                </w:div>
                <w:div w:id="1407721446">
                  <w:marLeft w:val="0"/>
                  <w:marRight w:val="0"/>
                  <w:marTop w:val="0"/>
                  <w:marBottom w:val="0"/>
                  <w:divBdr>
                    <w:top w:val="none" w:sz="0" w:space="0" w:color="auto"/>
                    <w:left w:val="none" w:sz="0" w:space="0" w:color="auto"/>
                    <w:bottom w:val="none" w:sz="0" w:space="0" w:color="auto"/>
                    <w:right w:val="none" w:sz="0" w:space="0" w:color="auto"/>
                  </w:divBdr>
                  <w:divsChild>
                    <w:div w:id="543448456">
                      <w:marLeft w:val="0"/>
                      <w:marRight w:val="0"/>
                      <w:marTop w:val="0"/>
                      <w:marBottom w:val="0"/>
                      <w:divBdr>
                        <w:top w:val="none" w:sz="0" w:space="0" w:color="auto"/>
                        <w:left w:val="none" w:sz="0" w:space="0" w:color="auto"/>
                        <w:bottom w:val="none" w:sz="0" w:space="0" w:color="auto"/>
                        <w:right w:val="none" w:sz="0" w:space="0" w:color="auto"/>
                      </w:divBdr>
                    </w:div>
                  </w:divsChild>
                </w:div>
                <w:div w:id="1143740400">
                  <w:marLeft w:val="0"/>
                  <w:marRight w:val="0"/>
                  <w:marTop w:val="0"/>
                  <w:marBottom w:val="0"/>
                  <w:divBdr>
                    <w:top w:val="none" w:sz="0" w:space="0" w:color="auto"/>
                    <w:left w:val="none" w:sz="0" w:space="0" w:color="auto"/>
                    <w:bottom w:val="none" w:sz="0" w:space="0" w:color="auto"/>
                    <w:right w:val="none" w:sz="0" w:space="0" w:color="auto"/>
                  </w:divBdr>
                  <w:divsChild>
                    <w:div w:id="1520463218">
                      <w:marLeft w:val="0"/>
                      <w:marRight w:val="0"/>
                      <w:marTop w:val="0"/>
                      <w:marBottom w:val="0"/>
                      <w:divBdr>
                        <w:top w:val="none" w:sz="0" w:space="0" w:color="auto"/>
                        <w:left w:val="none" w:sz="0" w:space="0" w:color="auto"/>
                        <w:bottom w:val="none" w:sz="0" w:space="0" w:color="auto"/>
                        <w:right w:val="none" w:sz="0" w:space="0" w:color="auto"/>
                      </w:divBdr>
                    </w:div>
                  </w:divsChild>
                </w:div>
                <w:div w:id="202523085">
                  <w:marLeft w:val="0"/>
                  <w:marRight w:val="0"/>
                  <w:marTop w:val="0"/>
                  <w:marBottom w:val="0"/>
                  <w:divBdr>
                    <w:top w:val="none" w:sz="0" w:space="0" w:color="auto"/>
                    <w:left w:val="none" w:sz="0" w:space="0" w:color="auto"/>
                    <w:bottom w:val="none" w:sz="0" w:space="0" w:color="auto"/>
                    <w:right w:val="none" w:sz="0" w:space="0" w:color="auto"/>
                  </w:divBdr>
                  <w:divsChild>
                    <w:div w:id="1679497498">
                      <w:marLeft w:val="0"/>
                      <w:marRight w:val="0"/>
                      <w:marTop w:val="0"/>
                      <w:marBottom w:val="0"/>
                      <w:divBdr>
                        <w:top w:val="none" w:sz="0" w:space="0" w:color="auto"/>
                        <w:left w:val="none" w:sz="0" w:space="0" w:color="auto"/>
                        <w:bottom w:val="none" w:sz="0" w:space="0" w:color="auto"/>
                        <w:right w:val="none" w:sz="0" w:space="0" w:color="auto"/>
                      </w:divBdr>
                    </w:div>
                  </w:divsChild>
                </w:div>
                <w:div w:id="1550847506">
                  <w:marLeft w:val="0"/>
                  <w:marRight w:val="0"/>
                  <w:marTop w:val="0"/>
                  <w:marBottom w:val="0"/>
                  <w:divBdr>
                    <w:top w:val="none" w:sz="0" w:space="0" w:color="auto"/>
                    <w:left w:val="none" w:sz="0" w:space="0" w:color="auto"/>
                    <w:bottom w:val="none" w:sz="0" w:space="0" w:color="auto"/>
                    <w:right w:val="none" w:sz="0" w:space="0" w:color="auto"/>
                  </w:divBdr>
                  <w:divsChild>
                    <w:div w:id="2032758447">
                      <w:marLeft w:val="0"/>
                      <w:marRight w:val="0"/>
                      <w:marTop w:val="0"/>
                      <w:marBottom w:val="0"/>
                      <w:divBdr>
                        <w:top w:val="none" w:sz="0" w:space="0" w:color="auto"/>
                        <w:left w:val="none" w:sz="0" w:space="0" w:color="auto"/>
                        <w:bottom w:val="none" w:sz="0" w:space="0" w:color="auto"/>
                        <w:right w:val="none" w:sz="0" w:space="0" w:color="auto"/>
                      </w:divBdr>
                    </w:div>
                  </w:divsChild>
                </w:div>
                <w:div w:id="552155958">
                  <w:marLeft w:val="0"/>
                  <w:marRight w:val="0"/>
                  <w:marTop w:val="0"/>
                  <w:marBottom w:val="0"/>
                  <w:divBdr>
                    <w:top w:val="none" w:sz="0" w:space="0" w:color="auto"/>
                    <w:left w:val="none" w:sz="0" w:space="0" w:color="auto"/>
                    <w:bottom w:val="none" w:sz="0" w:space="0" w:color="auto"/>
                    <w:right w:val="none" w:sz="0" w:space="0" w:color="auto"/>
                  </w:divBdr>
                  <w:divsChild>
                    <w:div w:id="1361978798">
                      <w:marLeft w:val="0"/>
                      <w:marRight w:val="0"/>
                      <w:marTop w:val="0"/>
                      <w:marBottom w:val="0"/>
                      <w:divBdr>
                        <w:top w:val="none" w:sz="0" w:space="0" w:color="auto"/>
                        <w:left w:val="none" w:sz="0" w:space="0" w:color="auto"/>
                        <w:bottom w:val="none" w:sz="0" w:space="0" w:color="auto"/>
                        <w:right w:val="none" w:sz="0" w:space="0" w:color="auto"/>
                      </w:divBdr>
                    </w:div>
                  </w:divsChild>
                </w:div>
                <w:div w:id="40833940">
                  <w:marLeft w:val="0"/>
                  <w:marRight w:val="0"/>
                  <w:marTop w:val="0"/>
                  <w:marBottom w:val="0"/>
                  <w:divBdr>
                    <w:top w:val="none" w:sz="0" w:space="0" w:color="auto"/>
                    <w:left w:val="none" w:sz="0" w:space="0" w:color="auto"/>
                    <w:bottom w:val="none" w:sz="0" w:space="0" w:color="auto"/>
                    <w:right w:val="none" w:sz="0" w:space="0" w:color="auto"/>
                  </w:divBdr>
                  <w:divsChild>
                    <w:div w:id="822156647">
                      <w:marLeft w:val="0"/>
                      <w:marRight w:val="0"/>
                      <w:marTop w:val="0"/>
                      <w:marBottom w:val="0"/>
                      <w:divBdr>
                        <w:top w:val="none" w:sz="0" w:space="0" w:color="auto"/>
                        <w:left w:val="none" w:sz="0" w:space="0" w:color="auto"/>
                        <w:bottom w:val="none" w:sz="0" w:space="0" w:color="auto"/>
                        <w:right w:val="none" w:sz="0" w:space="0" w:color="auto"/>
                      </w:divBdr>
                    </w:div>
                  </w:divsChild>
                </w:div>
                <w:div w:id="598946711">
                  <w:marLeft w:val="0"/>
                  <w:marRight w:val="0"/>
                  <w:marTop w:val="0"/>
                  <w:marBottom w:val="0"/>
                  <w:divBdr>
                    <w:top w:val="none" w:sz="0" w:space="0" w:color="auto"/>
                    <w:left w:val="none" w:sz="0" w:space="0" w:color="auto"/>
                    <w:bottom w:val="none" w:sz="0" w:space="0" w:color="auto"/>
                    <w:right w:val="none" w:sz="0" w:space="0" w:color="auto"/>
                  </w:divBdr>
                  <w:divsChild>
                    <w:div w:id="824468685">
                      <w:marLeft w:val="0"/>
                      <w:marRight w:val="0"/>
                      <w:marTop w:val="0"/>
                      <w:marBottom w:val="0"/>
                      <w:divBdr>
                        <w:top w:val="none" w:sz="0" w:space="0" w:color="auto"/>
                        <w:left w:val="none" w:sz="0" w:space="0" w:color="auto"/>
                        <w:bottom w:val="none" w:sz="0" w:space="0" w:color="auto"/>
                        <w:right w:val="none" w:sz="0" w:space="0" w:color="auto"/>
                      </w:divBdr>
                    </w:div>
                  </w:divsChild>
                </w:div>
                <w:div w:id="691414514">
                  <w:marLeft w:val="0"/>
                  <w:marRight w:val="0"/>
                  <w:marTop w:val="0"/>
                  <w:marBottom w:val="0"/>
                  <w:divBdr>
                    <w:top w:val="none" w:sz="0" w:space="0" w:color="auto"/>
                    <w:left w:val="none" w:sz="0" w:space="0" w:color="auto"/>
                    <w:bottom w:val="none" w:sz="0" w:space="0" w:color="auto"/>
                    <w:right w:val="none" w:sz="0" w:space="0" w:color="auto"/>
                  </w:divBdr>
                  <w:divsChild>
                    <w:div w:id="1096294657">
                      <w:marLeft w:val="0"/>
                      <w:marRight w:val="0"/>
                      <w:marTop w:val="0"/>
                      <w:marBottom w:val="0"/>
                      <w:divBdr>
                        <w:top w:val="none" w:sz="0" w:space="0" w:color="auto"/>
                        <w:left w:val="none" w:sz="0" w:space="0" w:color="auto"/>
                        <w:bottom w:val="none" w:sz="0" w:space="0" w:color="auto"/>
                        <w:right w:val="none" w:sz="0" w:space="0" w:color="auto"/>
                      </w:divBdr>
                    </w:div>
                  </w:divsChild>
                </w:div>
                <w:div w:id="1123766535">
                  <w:marLeft w:val="0"/>
                  <w:marRight w:val="0"/>
                  <w:marTop w:val="0"/>
                  <w:marBottom w:val="0"/>
                  <w:divBdr>
                    <w:top w:val="none" w:sz="0" w:space="0" w:color="auto"/>
                    <w:left w:val="none" w:sz="0" w:space="0" w:color="auto"/>
                    <w:bottom w:val="none" w:sz="0" w:space="0" w:color="auto"/>
                    <w:right w:val="none" w:sz="0" w:space="0" w:color="auto"/>
                  </w:divBdr>
                  <w:divsChild>
                    <w:div w:id="970355672">
                      <w:marLeft w:val="0"/>
                      <w:marRight w:val="0"/>
                      <w:marTop w:val="0"/>
                      <w:marBottom w:val="0"/>
                      <w:divBdr>
                        <w:top w:val="none" w:sz="0" w:space="0" w:color="auto"/>
                        <w:left w:val="none" w:sz="0" w:space="0" w:color="auto"/>
                        <w:bottom w:val="none" w:sz="0" w:space="0" w:color="auto"/>
                        <w:right w:val="none" w:sz="0" w:space="0" w:color="auto"/>
                      </w:divBdr>
                    </w:div>
                  </w:divsChild>
                </w:div>
                <w:div w:id="689570453">
                  <w:marLeft w:val="0"/>
                  <w:marRight w:val="0"/>
                  <w:marTop w:val="0"/>
                  <w:marBottom w:val="0"/>
                  <w:divBdr>
                    <w:top w:val="none" w:sz="0" w:space="0" w:color="auto"/>
                    <w:left w:val="none" w:sz="0" w:space="0" w:color="auto"/>
                    <w:bottom w:val="none" w:sz="0" w:space="0" w:color="auto"/>
                    <w:right w:val="none" w:sz="0" w:space="0" w:color="auto"/>
                  </w:divBdr>
                  <w:divsChild>
                    <w:div w:id="410280447">
                      <w:marLeft w:val="0"/>
                      <w:marRight w:val="0"/>
                      <w:marTop w:val="0"/>
                      <w:marBottom w:val="0"/>
                      <w:divBdr>
                        <w:top w:val="none" w:sz="0" w:space="0" w:color="auto"/>
                        <w:left w:val="none" w:sz="0" w:space="0" w:color="auto"/>
                        <w:bottom w:val="none" w:sz="0" w:space="0" w:color="auto"/>
                        <w:right w:val="none" w:sz="0" w:space="0" w:color="auto"/>
                      </w:divBdr>
                    </w:div>
                  </w:divsChild>
                </w:div>
                <w:div w:id="878130965">
                  <w:marLeft w:val="0"/>
                  <w:marRight w:val="0"/>
                  <w:marTop w:val="0"/>
                  <w:marBottom w:val="0"/>
                  <w:divBdr>
                    <w:top w:val="none" w:sz="0" w:space="0" w:color="auto"/>
                    <w:left w:val="none" w:sz="0" w:space="0" w:color="auto"/>
                    <w:bottom w:val="none" w:sz="0" w:space="0" w:color="auto"/>
                    <w:right w:val="none" w:sz="0" w:space="0" w:color="auto"/>
                  </w:divBdr>
                  <w:divsChild>
                    <w:div w:id="2075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8451">
          <w:marLeft w:val="0"/>
          <w:marRight w:val="0"/>
          <w:marTop w:val="0"/>
          <w:marBottom w:val="0"/>
          <w:divBdr>
            <w:top w:val="none" w:sz="0" w:space="0" w:color="auto"/>
            <w:left w:val="none" w:sz="0" w:space="0" w:color="auto"/>
            <w:bottom w:val="none" w:sz="0" w:space="0" w:color="auto"/>
            <w:right w:val="none" w:sz="0" w:space="0" w:color="auto"/>
          </w:divBdr>
        </w:div>
        <w:div w:id="465437213">
          <w:marLeft w:val="0"/>
          <w:marRight w:val="0"/>
          <w:marTop w:val="0"/>
          <w:marBottom w:val="0"/>
          <w:divBdr>
            <w:top w:val="none" w:sz="0" w:space="0" w:color="auto"/>
            <w:left w:val="none" w:sz="0" w:space="0" w:color="auto"/>
            <w:bottom w:val="none" w:sz="0" w:space="0" w:color="auto"/>
            <w:right w:val="none" w:sz="0" w:space="0" w:color="auto"/>
          </w:divBdr>
          <w:divsChild>
            <w:div w:id="1500847413">
              <w:marLeft w:val="-75"/>
              <w:marRight w:val="0"/>
              <w:marTop w:val="30"/>
              <w:marBottom w:val="30"/>
              <w:divBdr>
                <w:top w:val="none" w:sz="0" w:space="0" w:color="auto"/>
                <w:left w:val="none" w:sz="0" w:space="0" w:color="auto"/>
                <w:bottom w:val="none" w:sz="0" w:space="0" w:color="auto"/>
                <w:right w:val="none" w:sz="0" w:space="0" w:color="auto"/>
              </w:divBdr>
              <w:divsChild>
                <w:div w:id="577205390">
                  <w:marLeft w:val="0"/>
                  <w:marRight w:val="0"/>
                  <w:marTop w:val="0"/>
                  <w:marBottom w:val="0"/>
                  <w:divBdr>
                    <w:top w:val="none" w:sz="0" w:space="0" w:color="auto"/>
                    <w:left w:val="none" w:sz="0" w:space="0" w:color="auto"/>
                    <w:bottom w:val="none" w:sz="0" w:space="0" w:color="auto"/>
                    <w:right w:val="none" w:sz="0" w:space="0" w:color="auto"/>
                  </w:divBdr>
                  <w:divsChild>
                    <w:div w:id="1783765882">
                      <w:marLeft w:val="0"/>
                      <w:marRight w:val="0"/>
                      <w:marTop w:val="0"/>
                      <w:marBottom w:val="0"/>
                      <w:divBdr>
                        <w:top w:val="none" w:sz="0" w:space="0" w:color="auto"/>
                        <w:left w:val="none" w:sz="0" w:space="0" w:color="auto"/>
                        <w:bottom w:val="none" w:sz="0" w:space="0" w:color="auto"/>
                        <w:right w:val="none" w:sz="0" w:space="0" w:color="auto"/>
                      </w:divBdr>
                    </w:div>
                  </w:divsChild>
                </w:div>
                <w:div w:id="1789085672">
                  <w:marLeft w:val="0"/>
                  <w:marRight w:val="0"/>
                  <w:marTop w:val="0"/>
                  <w:marBottom w:val="0"/>
                  <w:divBdr>
                    <w:top w:val="none" w:sz="0" w:space="0" w:color="auto"/>
                    <w:left w:val="none" w:sz="0" w:space="0" w:color="auto"/>
                    <w:bottom w:val="none" w:sz="0" w:space="0" w:color="auto"/>
                    <w:right w:val="none" w:sz="0" w:space="0" w:color="auto"/>
                  </w:divBdr>
                  <w:divsChild>
                    <w:div w:id="599139060">
                      <w:marLeft w:val="0"/>
                      <w:marRight w:val="0"/>
                      <w:marTop w:val="0"/>
                      <w:marBottom w:val="0"/>
                      <w:divBdr>
                        <w:top w:val="none" w:sz="0" w:space="0" w:color="auto"/>
                        <w:left w:val="none" w:sz="0" w:space="0" w:color="auto"/>
                        <w:bottom w:val="none" w:sz="0" w:space="0" w:color="auto"/>
                        <w:right w:val="none" w:sz="0" w:space="0" w:color="auto"/>
                      </w:divBdr>
                    </w:div>
                  </w:divsChild>
                </w:div>
                <w:div w:id="232085443">
                  <w:marLeft w:val="0"/>
                  <w:marRight w:val="0"/>
                  <w:marTop w:val="0"/>
                  <w:marBottom w:val="0"/>
                  <w:divBdr>
                    <w:top w:val="none" w:sz="0" w:space="0" w:color="auto"/>
                    <w:left w:val="none" w:sz="0" w:space="0" w:color="auto"/>
                    <w:bottom w:val="none" w:sz="0" w:space="0" w:color="auto"/>
                    <w:right w:val="none" w:sz="0" w:space="0" w:color="auto"/>
                  </w:divBdr>
                  <w:divsChild>
                    <w:div w:id="683283711">
                      <w:marLeft w:val="0"/>
                      <w:marRight w:val="0"/>
                      <w:marTop w:val="0"/>
                      <w:marBottom w:val="0"/>
                      <w:divBdr>
                        <w:top w:val="none" w:sz="0" w:space="0" w:color="auto"/>
                        <w:left w:val="none" w:sz="0" w:space="0" w:color="auto"/>
                        <w:bottom w:val="none" w:sz="0" w:space="0" w:color="auto"/>
                        <w:right w:val="none" w:sz="0" w:space="0" w:color="auto"/>
                      </w:divBdr>
                    </w:div>
                  </w:divsChild>
                </w:div>
                <w:div w:id="546717992">
                  <w:marLeft w:val="0"/>
                  <w:marRight w:val="0"/>
                  <w:marTop w:val="0"/>
                  <w:marBottom w:val="0"/>
                  <w:divBdr>
                    <w:top w:val="none" w:sz="0" w:space="0" w:color="auto"/>
                    <w:left w:val="none" w:sz="0" w:space="0" w:color="auto"/>
                    <w:bottom w:val="none" w:sz="0" w:space="0" w:color="auto"/>
                    <w:right w:val="none" w:sz="0" w:space="0" w:color="auto"/>
                  </w:divBdr>
                  <w:divsChild>
                    <w:div w:id="1776555410">
                      <w:marLeft w:val="0"/>
                      <w:marRight w:val="0"/>
                      <w:marTop w:val="0"/>
                      <w:marBottom w:val="0"/>
                      <w:divBdr>
                        <w:top w:val="none" w:sz="0" w:space="0" w:color="auto"/>
                        <w:left w:val="none" w:sz="0" w:space="0" w:color="auto"/>
                        <w:bottom w:val="none" w:sz="0" w:space="0" w:color="auto"/>
                        <w:right w:val="none" w:sz="0" w:space="0" w:color="auto"/>
                      </w:divBdr>
                    </w:div>
                  </w:divsChild>
                </w:div>
                <w:div w:id="430316054">
                  <w:marLeft w:val="0"/>
                  <w:marRight w:val="0"/>
                  <w:marTop w:val="0"/>
                  <w:marBottom w:val="0"/>
                  <w:divBdr>
                    <w:top w:val="none" w:sz="0" w:space="0" w:color="auto"/>
                    <w:left w:val="none" w:sz="0" w:space="0" w:color="auto"/>
                    <w:bottom w:val="none" w:sz="0" w:space="0" w:color="auto"/>
                    <w:right w:val="none" w:sz="0" w:space="0" w:color="auto"/>
                  </w:divBdr>
                  <w:divsChild>
                    <w:div w:id="1044136134">
                      <w:marLeft w:val="0"/>
                      <w:marRight w:val="0"/>
                      <w:marTop w:val="0"/>
                      <w:marBottom w:val="0"/>
                      <w:divBdr>
                        <w:top w:val="none" w:sz="0" w:space="0" w:color="auto"/>
                        <w:left w:val="none" w:sz="0" w:space="0" w:color="auto"/>
                        <w:bottom w:val="none" w:sz="0" w:space="0" w:color="auto"/>
                        <w:right w:val="none" w:sz="0" w:space="0" w:color="auto"/>
                      </w:divBdr>
                    </w:div>
                  </w:divsChild>
                </w:div>
                <w:div w:id="1439259272">
                  <w:marLeft w:val="0"/>
                  <w:marRight w:val="0"/>
                  <w:marTop w:val="0"/>
                  <w:marBottom w:val="0"/>
                  <w:divBdr>
                    <w:top w:val="none" w:sz="0" w:space="0" w:color="auto"/>
                    <w:left w:val="none" w:sz="0" w:space="0" w:color="auto"/>
                    <w:bottom w:val="none" w:sz="0" w:space="0" w:color="auto"/>
                    <w:right w:val="none" w:sz="0" w:space="0" w:color="auto"/>
                  </w:divBdr>
                  <w:divsChild>
                    <w:div w:id="150570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134422">
          <w:marLeft w:val="0"/>
          <w:marRight w:val="0"/>
          <w:marTop w:val="0"/>
          <w:marBottom w:val="0"/>
          <w:divBdr>
            <w:top w:val="none" w:sz="0" w:space="0" w:color="auto"/>
            <w:left w:val="none" w:sz="0" w:space="0" w:color="auto"/>
            <w:bottom w:val="none" w:sz="0" w:space="0" w:color="auto"/>
            <w:right w:val="none" w:sz="0" w:space="0" w:color="auto"/>
          </w:divBdr>
        </w:div>
      </w:divsChild>
    </w:div>
    <w:div w:id="1544753836">
      <w:bodyDiv w:val="1"/>
      <w:marLeft w:val="0"/>
      <w:marRight w:val="0"/>
      <w:marTop w:val="0"/>
      <w:marBottom w:val="0"/>
      <w:divBdr>
        <w:top w:val="none" w:sz="0" w:space="0" w:color="auto"/>
        <w:left w:val="none" w:sz="0" w:space="0" w:color="auto"/>
        <w:bottom w:val="none" w:sz="0" w:space="0" w:color="auto"/>
        <w:right w:val="none" w:sz="0" w:space="0" w:color="auto"/>
      </w:divBdr>
    </w:div>
    <w:div w:id="1577860737">
      <w:bodyDiv w:val="1"/>
      <w:marLeft w:val="0"/>
      <w:marRight w:val="0"/>
      <w:marTop w:val="0"/>
      <w:marBottom w:val="0"/>
      <w:divBdr>
        <w:top w:val="none" w:sz="0" w:space="0" w:color="auto"/>
        <w:left w:val="none" w:sz="0" w:space="0" w:color="auto"/>
        <w:bottom w:val="none" w:sz="0" w:space="0" w:color="auto"/>
        <w:right w:val="none" w:sz="0" w:space="0" w:color="auto"/>
      </w:divBdr>
    </w:div>
    <w:div w:id="1911882592">
      <w:bodyDiv w:val="1"/>
      <w:marLeft w:val="0"/>
      <w:marRight w:val="0"/>
      <w:marTop w:val="0"/>
      <w:marBottom w:val="0"/>
      <w:divBdr>
        <w:top w:val="none" w:sz="0" w:space="0" w:color="auto"/>
        <w:left w:val="none" w:sz="0" w:space="0" w:color="auto"/>
        <w:bottom w:val="none" w:sz="0" w:space="0" w:color="auto"/>
        <w:right w:val="none" w:sz="0" w:space="0" w:color="auto"/>
      </w:divBdr>
    </w:div>
    <w:div w:id="1987926571">
      <w:bodyDiv w:val="1"/>
      <w:marLeft w:val="0"/>
      <w:marRight w:val="0"/>
      <w:marTop w:val="0"/>
      <w:marBottom w:val="0"/>
      <w:divBdr>
        <w:top w:val="none" w:sz="0" w:space="0" w:color="auto"/>
        <w:left w:val="none" w:sz="0" w:space="0" w:color="auto"/>
        <w:bottom w:val="none" w:sz="0" w:space="0" w:color="auto"/>
        <w:right w:val="none" w:sz="0" w:space="0" w:color="auto"/>
      </w:divBdr>
    </w:div>
    <w:div w:id="2025470209">
      <w:bodyDiv w:val="1"/>
      <w:marLeft w:val="0"/>
      <w:marRight w:val="0"/>
      <w:marTop w:val="0"/>
      <w:marBottom w:val="0"/>
      <w:divBdr>
        <w:top w:val="none" w:sz="0" w:space="0" w:color="auto"/>
        <w:left w:val="none" w:sz="0" w:space="0" w:color="auto"/>
        <w:bottom w:val="none" w:sz="0" w:space="0" w:color="auto"/>
        <w:right w:val="none" w:sz="0" w:space="0" w:color="auto"/>
      </w:divBdr>
    </w:div>
    <w:div w:id="2039310549">
      <w:bodyDiv w:val="1"/>
      <w:marLeft w:val="0"/>
      <w:marRight w:val="0"/>
      <w:marTop w:val="0"/>
      <w:marBottom w:val="0"/>
      <w:divBdr>
        <w:top w:val="none" w:sz="0" w:space="0" w:color="auto"/>
        <w:left w:val="none" w:sz="0" w:space="0" w:color="auto"/>
        <w:bottom w:val="none" w:sz="0" w:space="0" w:color="auto"/>
        <w:right w:val="none" w:sz="0" w:space="0" w:color="auto"/>
      </w:divBdr>
      <w:divsChild>
        <w:div w:id="2010789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9b51a7-d269-4f29-b142-79e8ee84f3f3" xsi:nil="true"/>
    <lcf76f155ced4ddcb4097134ff3c332f xmlns="ccaf9895-93ab-4536-b1cb-77a268359520">
      <Terms xmlns="http://schemas.microsoft.com/office/infopath/2007/PartnerControls"/>
    </lcf76f155ced4ddcb4097134ff3c332f>
    <SharedWithUsers xmlns="189b51a7-d269-4f29-b142-79e8ee84f3f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BBAF8-774B-437D-8B3F-094EC1EDBBA4}"/>
</file>

<file path=customXml/itemProps2.xml><?xml version="1.0" encoding="utf-8"?>
<ds:datastoreItem xmlns:ds="http://schemas.openxmlformats.org/officeDocument/2006/customXml" ds:itemID="{C32C137A-DB38-45DD-B997-8C409ECF456E}">
  <ds:schemaRefs>
    <ds:schemaRef ds:uri="http://schemas.microsoft.com/office/2006/metadata/properties"/>
    <ds:schemaRef ds:uri="http://schemas.microsoft.com/office/infopath/2007/PartnerControls"/>
    <ds:schemaRef ds:uri="189b51a7-d269-4f29-b142-79e8ee84f3f3"/>
    <ds:schemaRef ds:uri="ccaf9895-93ab-4536-b1cb-77a268359520"/>
  </ds:schemaRefs>
</ds:datastoreItem>
</file>

<file path=customXml/itemProps3.xml><?xml version="1.0" encoding="utf-8"?>
<ds:datastoreItem xmlns:ds="http://schemas.openxmlformats.org/officeDocument/2006/customXml" ds:itemID="{2289486D-E9C5-4B0A-A5C6-5326AF5937A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ALFREDO HIGUERA BARRERA</dc:creator>
  <cp:keywords/>
  <cp:lastModifiedBy>CRISTIAN HERNANDO BEJARANO CAICEDO</cp:lastModifiedBy>
  <cp:revision>262</cp:revision>
  <cp:lastPrinted>2026-04-15T15:33:00Z</cp:lastPrinted>
  <dcterms:created xsi:type="dcterms:W3CDTF">2024-11-01T11:57:00Z</dcterms:created>
  <dcterms:modified xsi:type="dcterms:W3CDTF">2026-06-05T22:19:41Z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